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50A1" w14:textId="3BEF9F7A" w:rsidR="00904D6D" w:rsidRPr="00F90E8A" w:rsidRDefault="00354A58" w:rsidP="00956EB6">
      <w:pPr>
        <w:pStyle w:val="Title"/>
        <w:rPr>
          <w:sz w:val="32"/>
          <w:szCs w:val="32"/>
        </w:rPr>
      </w:pPr>
      <w:bookmarkStart w:id="0" w:name="_Hlk78354194"/>
      <w:r w:rsidRPr="00F90E8A">
        <w:rPr>
          <w:sz w:val="32"/>
          <w:szCs w:val="32"/>
          <w:lang w:val="en-ID"/>
        </w:rPr>
        <w:t>Paper’s</w:t>
      </w:r>
      <w:r w:rsidRPr="00F90E8A">
        <w:rPr>
          <w:sz w:val="32"/>
          <w:szCs w:val="32"/>
        </w:rPr>
        <w:t xml:space="preserve"> </w:t>
      </w:r>
      <w:r w:rsidRPr="00F90E8A">
        <w:rPr>
          <w:sz w:val="32"/>
          <w:szCs w:val="32"/>
          <w:lang w:val="en-US"/>
        </w:rPr>
        <w:t>title</w:t>
      </w:r>
      <w:bookmarkEnd w:id="0"/>
      <w:r w:rsidRPr="00F90E8A">
        <w:rPr>
          <w:sz w:val="32"/>
          <w:szCs w:val="32"/>
          <w:lang w:val="en-US"/>
        </w:rPr>
        <w:t xml:space="preserve"> </w:t>
      </w:r>
      <w:r w:rsidR="005160A8" w:rsidRPr="00F90E8A">
        <w:rPr>
          <w:sz w:val="32"/>
          <w:szCs w:val="32"/>
        </w:rPr>
        <w:t xml:space="preserve">should be </w:t>
      </w:r>
      <w:r w:rsidR="005160A8" w:rsidRPr="00F90E8A">
        <w:rPr>
          <w:sz w:val="32"/>
          <w:szCs w:val="32"/>
          <w:lang w:val="en-US"/>
        </w:rPr>
        <w:t>t</w:t>
      </w:r>
      <w:r w:rsidR="005160A8" w:rsidRPr="00F90E8A">
        <w:rPr>
          <w:sz w:val="32"/>
          <w:szCs w:val="32"/>
        </w:rPr>
        <w:t xml:space="preserve">he fewest possible words that </w:t>
      </w:r>
      <w:r w:rsidR="005160A8" w:rsidRPr="00F90E8A">
        <w:rPr>
          <w:iCs/>
          <w:sz w:val="32"/>
          <w:szCs w:val="32"/>
        </w:rPr>
        <w:t xml:space="preserve">accurately describe </w:t>
      </w:r>
      <w:r w:rsidR="005160A8" w:rsidRPr="00F90E8A">
        <w:rPr>
          <w:iCs/>
          <w:sz w:val="32"/>
          <w:szCs w:val="32"/>
          <w:lang w:val="en-US"/>
        </w:rPr>
        <w:t>t</w:t>
      </w:r>
      <w:r w:rsidR="005160A8" w:rsidRPr="00F90E8A">
        <w:rPr>
          <w:iCs/>
          <w:sz w:val="32"/>
          <w:szCs w:val="32"/>
        </w:rPr>
        <w:t xml:space="preserve">he content </w:t>
      </w:r>
      <w:r w:rsidR="005160A8" w:rsidRPr="00F90E8A">
        <w:rPr>
          <w:iCs/>
          <w:sz w:val="32"/>
          <w:szCs w:val="32"/>
          <w:lang w:val="en-US"/>
        </w:rPr>
        <w:t>o</w:t>
      </w:r>
      <w:r w:rsidR="005160A8" w:rsidRPr="00F90E8A">
        <w:rPr>
          <w:iCs/>
          <w:sz w:val="32"/>
          <w:szCs w:val="32"/>
        </w:rPr>
        <w:t xml:space="preserve">f </w:t>
      </w:r>
      <w:r w:rsidR="005160A8" w:rsidRPr="00F90E8A">
        <w:rPr>
          <w:iCs/>
          <w:sz w:val="32"/>
          <w:szCs w:val="32"/>
          <w:lang w:val="en-US"/>
        </w:rPr>
        <w:t>t</w:t>
      </w:r>
      <w:r w:rsidR="005160A8" w:rsidRPr="00F90E8A">
        <w:rPr>
          <w:iCs/>
          <w:sz w:val="32"/>
          <w:szCs w:val="32"/>
        </w:rPr>
        <w:t xml:space="preserve">he </w:t>
      </w:r>
      <w:proofErr w:type="spellStart"/>
      <w:r w:rsidR="005160A8" w:rsidRPr="00F90E8A">
        <w:rPr>
          <w:iCs/>
          <w:sz w:val="32"/>
          <w:szCs w:val="32"/>
        </w:rPr>
        <w:t>paper</w:t>
      </w:r>
      <w:proofErr w:type="spellEnd"/>
      <w:r w:rsidR="005160A8" w:rsidRPr="00F90E8A">
        <w:rPr>
          <w:iCs/>
          <w:sz w:val="32"/>
          <w:szCs w:val="32"/>
          <w:lang w:val="en-US"/>
        </w:rPr>
        <w:t xml:space="preserve"> </w:t>
      </w:r>
      <w:r w:rsidR="00904D6D" w:rsidRPr="00F90E8A">
        <w:rPr>
          <w:sz w:val="32"/>
          <w:szCs w:val="32"/>
        </w:rPr>
        <w:t xml:space="preserve">(Center, </w:t>
      </w:r>
      <w:proofErr w:type="spellStart"/>
      <w:r w:rsidR="00904D6D" w:rsidRPr="00F90E8A">
        <w:rPr>
          <w:sz w:val="32"/>
          <w:szCs w:val="32"/>
        </w:rPr>
        <w:t>Bold</w:t>
      </w:r>
      <w:proofErr w:type="spellEnd"/>
      <w:r w:rsidR="00904D6D" w:rsidRPr="00F90E8A">
        <w:rPr>
          <w:sz w:val="32"/>
          <w:szCs w:val="32"/>
        </w:rPr>
        <w:t>, 16</w:t>
      </w:r>
      <w:proofErr w:type="spellStart"/>
      <w:r w:rsidR="00F33C08" w:rsidRPr="00F90E8A">
        <w:rPr>
          <w:sz w:val="32"/>
          <w:szCs w:val="32"/>
          <w:lang w:val="en-US"/>
        </w:rPr>
        <w:t>pt</w:t>
      </w:r>
      <w:proofErr w:type="spellEnd"/>
      <w:r w:rsidR="00904D6D" w:rsidRPr="00F90E8A">
        <w:rPr>
          <w:sz w:val="32"/>
          <w:szCs w:val="32"/>
        </w:rPr>
        <w:t>)</w:t>
      </w:r>
    </w:p>
    <w:p w14:paraId="2A832E5F" w14:textId="04FE9E51" w:rsidR="00904D6D" w:rsidRDefault="00904D6D" w:rsidP="00904D6D">
      <w:pPr>
        <w:jc w:val="center"/>
        <w:rPr>
          <w:b/>
          <w:bCs/>
        </w:rPr>
      </w:pPr>
    </w:p>
    <w:p w14:paraId="370C47FE" w14:textId="77777777" w:rsidR="005E51F9" w:rsidRPr="003D5B84" w:rsidRDefault="005E51F9" w:rsidP="00904D6D">
      <w:pPr>
        <w:jc w:val="center"/>
        <w:rPr>
          <w:b/>
          <w:bCs/>
        </w:rPr>
      </w:pPr>
    </w:p>
    <w:p w14:paraId="5FC98602" w14:textId="7C14424F" w:rsidR="00C65E31" w:rsidRDefault="00F96EFA" w:rsidP="00C65E31">
      <w:pPr>
        <w:jc w:val="center"/>
        <w:rPr>
          <w:b/>
          <w:bCs/>
        </w:rPr>
      </w:pPr>
      <w:r>
        <w:rPr>
          <w:b/>
          <w:bCs/>
        </w:rPr>
        <w:t>First author</w:t>
      </w:r>
      <w:r w:rsidR="00C14623">
        <w:rPr>
          <w:b/>
          <w:bCs/>
          <w:vertAlign w:val="superscript"/>
        </w:rPr>
        <w:t>1,2</w:t>
      </w:r>
      <w:r w:rsidR="00FD6DB9" w:rsidRPr="00FD6DB9">
        <w:rPr>
          <w:b/>
          <w:bCs/>
        </w:rPr>
        <w:t xml:space="preserve">, </w:t>
      </w:r>
      <w:r>
        <w:rPr>
          <w:b/>
          <w:bCs/>
        </w:rPr>
        <w:t>Second author</w:t>
      </w:r>
      <w:r w:rsidR="00C14623" w:rsidRPr="00C14623">
        <w:rPr>
          <w:b/>
          <w:bCs/>
          <w:vertAlign w:val="superscript"/>
        </w:rPr>
        <w:t>3</w:t>
      </w:r>
      <w:r w:rsidR="00FD6DB9">
        <w:rPr>
          <w:b/>
          <w:bCs/>
        </w:rPr>
        <w:t xml:space="preserve">, </w:t>
      </w:r>
      <w:r>
        <w:rPr>
          <w:b/>
          <w:bCs/>
        </w:rPr>
        <w:t>Third author</w:t>
      </w:r>
      <w:r w:rsidR="00C14623">
        <w:rPr>
          <w:b/>
          <w:bCs/>
          <w:vertAlign w:val="superscript"/>
        </w:rPr>
        <w:t>4</w:t>
      </w:r>
      <w:r w:rsidR="002546B8" w:rsidRPr="00285D0A">
        <w:rPr>
          <w:b/>
          <w:bCs/>
        </w:rPr>
        <w:t xml:space="preserve"> </w:t>
      </w:r>
      <w:r w:rsidR="00C65E31" w:rsidRPr="00285D0A">
        <w:rPr>
          <w:b/>
          <w:bCs/>
        </w:rPr>
        <w:t xml:space="preserve">(10 </w:t>
      </w:r>
      <w:proofErr w:type="spellStart"/>
      <w:r w:rsidR="00C65E31" w:rsidRPr="00285D0A">
        <w:rPr>
          <w:b/>
          <w:bCs/>
        </w:rPr>
        <w:t>pt</w:t>
      </w:r>
      <w:proofErr w:type="spellEnd"/>
      <w:r w:rsidR="00C65E31" w:rsidRPr="00285D0A">
        <w:rPr>
          <w:b/>
          <w:bCs/>
        </w:rPr>
        <w:t>)</w:t>
      </w:r>
    </w:p>
    <w:p w14:paraId="66010086" w14:textId="7DE658E2" w:rsidR="00FD6DB9" w:rsidRDefault="00C14623" w:rsidP="00FD6DB9">
      <w:pPr>
        <w:jc w:val="center"/>
        <w:rPr>
          <w:sz w:val="16"/>
          <w:szCs w:val="16"/>
        </w:rPr>
      </w:pPr>
      <w:r>
        <w:rPr>
          <w:sz w:val="16"/>
          <w:szCs w:val="16"/>
          <w:vertAlign w:val="superscript"/>
        </w:rPr>
        <w:t>1</w:t>
      </w:r>
      <w:r w:rsidR="00FD6DB9" w:rsidRPr="00FD6DB9">
        <w:rPr>
          <w:sz w:val="16"/>
          <w:szCs w:val="16"/>
        </w:rPr>
        <w:t xml:space="preserve">Department of Computer Science, </w:t>
      </w:r>
      <w:r w:rsidR="00F96EFA" w:rsidRPr="00F96EFA">
        <w:rPr>
          <w:sz w:val="16"/>
          <w:szCs w:val="16"/>
        </w:rPr>
        <w:t>Shatt Al-Arab University College</w:t>
      </w:r>
      <w:r w:rsidR="00FD6DB9" w:rsidRPr="00FD6DB9">
        <w:rPr>
          <w:sz w:val="16"/>
          <w:szCs w:val="16"/>
        </w:rPr>
        <w:t xml:space="preserve">, </w:t>
      </w:r>
      <w:r w:rsidR="00F96EFA">
        <w:rPr>
          <w:sz w:val="16"/>
          <w:szCs w:val="16"/>
        </w:rPr>
        <w:t>Basra</w:t>
      </w:r>
      <w:r w:rsidR="00FD6DB9" w:rsidRPr="00FD6DB9">
        <w:rPr>
          <w:sz w:val="16"/>
          <w:szCs w:val="16"/>
        </w:rPr>
        <w:t xml:space="preserve">, </w:t>
      </w:r>
      <w:r w:rsidR="00F96EFA">
        <w:rPr>
          <w:sz w:val="16"/>
          <w:szCs w:val="16"/>
        </w:rPr>
        <w:t>Iraq</w:t>
      </w:r>
      <w:r>
        <w:rPr>
          <w:sz w:val="16"/>
          <w:szCs w:val="16"/>
        </w:rPr>
        <w:t xml:space="preserve"> (8 </w:t>
      </w:r>
      <w:proofErr w:type="spellStart"/>
      <w:r>
        <w:rPr>
          <w:sz w:val="16"/>
          <w:szCs w:val="16"/>
        </w:rPr>
        <w:t>pt</w:t>
      </w:r>
      <w:proofErr w:type="spellEnd"/>
      <w:r>
        <w:rPr>
          <w:sz w:val="16"/>
          <w:szCs w:val="16"/>
        </w:rPr>
        <w:t>)</w:t>
      </w:r>
    </w:p>
    <w:p w14:paraId="5561F730" w14:textId="4E81D134" w:rsidR="00FD6DB9" w:rsidRDefault="00F96EFA" w:rsidP="00FD6DB9">
      <w:pPr>
        <w:jc w:val="center"/>
        <w:rPr>
          <w:sz w:val="16"/>
          <w:szCs w:val="16"/>
        </w:rPr>
      </w:pPr>
      <w:r>
        <w:rPr>
          <w:sz w:val="16"/>
          <w:szCs w:val="16"/>
          <w:vertAlign w:val="superscript"/>
        </w:rPr>
        <w:t>2</w:t>
      </w:r>
      <w:r w:rsidRPr="00FD6DB9">
        <w:rPr>
          <w:sz w:val="16"/>
          <w:szCs w:val="16"/>
        </w:rPr>
        <w:t xml:space="preserve">Department of Computer Science, </w:t>
      </w:r>
      <w:r>
        <w:rPr>
          <w:sz w:val="16"/>
          <w:szCs w:val="16"/>
        </w:rPr>
        <w:t>Basra University</w:t>
      </w:r>
      <w:r w:rsidRPr="00FD6DB9">
        <w:rPr>
          <w:sz w:val="16"/>
          <w:szCs w:val="16"/>
        </w:rPr>
        <w:t xml:space="preserve">, </w:t>
      </w:r>
      <w:r>
        <w:rPr>
          <w:sz w:val="16"/>
          <w:szCs w:val="16"/>
        </w:rPr>
        <w:t>Basra</w:t>
      </w:r>
      <w:r w:rsidRPr="00FD6DB9">
        <w:rPr>
          <w:sz w:val="16"/>
          <w:szCs w:val="16"/>
        </w:rPr>
        <w:t xml:space="preserve">, </w:t>
      </w:r>
      <w:r>
        <w:rPr>
          <w:sz w:val="16"/>
          <w:szCs w:val="16"/>
        </w:rPr>
        <w:t>Iraq</w:t>
      </w:r>
    </w:p>
    <w:p w14:paraId="47870463" w14:textId="7B6C0ADD" w:rsidR="00F96EFA" w:rsidRDefault="00F96EFA" w:rsidP="00C65E31">
      <w:pPr>
        <w:jc w:val="center"/>
        <w:rPr>
          <w:sz w:val="16"/>
          <w:szCs w:val="16"/>
        </w:rPr>
      </w:pPr>
      <w:r>
        <w:rPr>
          <w:sz w:val="16"/>
          <w:szCs w:val="16"/>
          <w:vertAlign w:val="superscript"/>
        </w:rPr>
        <w:t>3</w:t>
      </w:r>
      <w:r w:rsidRPr="00FD6DB9">
        <w:rPr>
          <w:sz w:val="16"/>
          <w:szCs w:val="16"/>
        </w:rPr>
        <w:t xml:space="preserve">Department of Computer Science, </w:t>
      </w:r>
      <w:r>
        <w:rPr>
          <w:sz w:val="16"/>
          <w:szCs w:val="16"/>
        </w:rPr>
        <w:t>B</w:t>
      </w:r>
      <w:r w:rsidRPr="00F96EFA">
        <w:rPr>
          <w:sz w:val="16"/>
          <w:szCs w:val="16"/>
        </w:rPr>
        <w:t xml:space="preserve">aghdad </w:t>
      </w:r>
      <w:r>
        <w:rPr>
          <w:sz w:val="16"/>
          <w:szCs w:val="16"/>
        </w:rPr>
        <w:t>U</w:t>
      </w:r>
      <w:r w:rsidRPr="00F96EFA">
        <w:rPr>
          <w:sz w:val="16"/>
          <w:szCs w:val="16"/>
        </w:rPr>
        <w:t>niversity</w:t>
      </w:r>
      <w:r w:rsidRPr="00FD6DB9">
        <w:rPr>
          <w:sz w:val="16"/>
          <w:szCs w:val="16"/>
        </w:rPr>
        <w:t xml:space="preserve">, </w:t>
      </w:r>
      <w:r>
        <w:rPr>
          <w:sz w:val="16"/>
          <w:szCs w:val="16"/>
        </w:rPr>
        <w:t>B</w:t>
      </w:r>
      <w:r w:rsidRPr="00F96EFA">
        <w:rPr>
          <w:sz w:val="16"/>
          <w:szCs w:val="16"/>
        </w:rPr>
        <w:t>aghdad</w:t>
      </w:r>
      <w:r w:rsidRPr="00FD6DB9">
        <w:rPr>
          <w:sz w:val="16"/>
          <w:szCs w:val="16"/>
        </w:rPr>
        <w:t xml:space="preserve">, </w:t>
      </w:r>
      <w:r>
        <w:rPr>
          <w:sz w:val="16"/>
          <w:szCs w:val="16"/>
        </w:rPr>
        <w:t xml:space="preserve">Iraq </w:t>
      </w:r>
    </w:p>
    <w:p w14:paraId="5126D59D" w14:textId="02F336B9" w:rsidR="00C65E31" w:rsidRDefault="00C14623" w:rsidP="00C65E31">
      <w:pPr>
        <w:jc w:val="center"/>
        <w:rPr>
          <w:sz w:val="16"/>
          <w:szCs w:val="16"/>
        </w:rPr>
      </w:pPr>
      <w:r>
        <w:rPr>
          <w:sz w:val="16"/>
          <w:szCs w:val="16"/>
          <w:vertAlign w:val="superscript"/>
        </w:rPr>
        <w:t>4</w:t>
      </w:r>
      <w:r w:rsidR="00C65E31" w:rsidRPr="00724933">
        <w:rPr>
          <w:sz w:val="16"/>
          <w:szCs w:val="16"/>
        </w:rPr>
        <w:t xml:space="preserve">Department of Electrical and Information Engineering, </w:t>
      </w:r>
      <w:r w:rsidR="00C65E31" w:rsidRPr="004E3F8A">
        <w:rPr>
          <w:sz w:val="16"/>
          <w:szCs w:val="16"/>
        </w:rPr>
        <w:t>College of Engineering</w:t>
      </w:r>
      <w:r w:rsidR="00C65E31">
        <w:rPr>
          <w:sz w:val="16"/>
          <w:szCs w:val="16"/>
        </w:rPr>
        <w:t xml:space="preserve">, </w:t>
      </w:r>
      <w:r w:rsidR="00C65E31" w:rsidRPr="00724933">
        <w:rPr>
          <w:sz w:val="16"/>
          <w:szCs w:val="16"/>
        </w:rPr>
        <w:t xml:space="preserve">Covenant University, </w:t>
      </w:r>
      <w:r w:rsidR="00B54DE8">
        <w:rPr>
          <w:sz w:val="16"/>
          <w:szCs w:val="16"/>
        </w:rPr>
        <w:t>Ota</w:t>
      </w:r>
      <w:r w:rsidR="00C65E31" w:rsidRPr="00724933">
        <w:rPr>
          <w:sz w:val="16"/>
          <w:szCs w:val="16"/>
        </w:rPr>
        <w:t>, Nigeria</w:t>
      </w:r>
    </w:p>
    <w:p w14:paraId="557DF927" w14:textId="4D489A7A" w:rsidR="00904D6D" w:rsidRPr="00A30A93" w:rsidRDefault="00904D6D" w:rsidP="0088233C">
      <w:pPr>
        <w:jc w:val="center"/>
      </w:pPr>
    </w:p>
    <w:p w14:paraId="5CCC3BE9" w14:textId="440424D7" w:rsidR="00C07BEF" w:rsidRDefault="00C07BEF" w:rsidP="0088233C">
      <w:pPr>
        <w:jc w:val="center"/>
      </w:pPr>
    </w:p>
    <w:tbl>
      <w:tblPr>
        <w:tblStyle w:val="TableGrid"/>
        <w:tblW w:w="8845" w:type="dxa"/>
        <w:jc w:val="center"/>
        <w:tblLook w:val="04A0" w:firstRow="1" w:lastRow="0" w:firstColumn="1" w:lastColumn="0" w:noHBand="0" w:noVBand="1"/>
      </w:tblPr>
      <w:tblGrid>
        <w:gridCol w:w="2791"/>
        <w:gridCol w:w="283"/>
        <w:gridCol w:w="5771"/>
      </w:tblGrid>
      <w:tr w:rsidR="006B027E" w14:paraId="513CAD48" w14:textId="77777777" w:rsidTr="000469F4">
        <w:trPr>
          <w:jc w:val="center"/>
        </w:trPr>
        <w:tc>
          <w:tcPr>
            <w:tcW w:w="2791" w:type="dxa"/>
            <w:tcBorders>
              <w:top w:val="double" w:sz="4" w:space="0" w:color="auto"/>
              <w:left w:val="nil"/>
              <w:bottom w:val="single" w:sz="4" w:space="0" w:color="auto"/>
              <w:right w:val="nil"/>
            </w:tcBorders>
          </w:tcPr>
          <w:p w14:paraId="22234552"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3E270EF1" w14:textId="77777777" w:rsidR="00957C11" w:rsidRDefault="00957C11" w:rsidP="00957C11">
            <w:pPr>
              <w:spacing w:before="120"/>
              <w:jc w:val="center"/>
            </w:pPr>
          </w:p>
        </w:tc>
        <w:tc>
          <w:tcPr>
            <w:tcW w:w="5771" w:type="dxa"/>
            <w:tcBorders>
              <w:top w:val="double" w:sz="4" w:space="0" w:color="auto"/>
              <w:left w:val="nil"/>
              <w:bottom w:val="single" w:sz="4" w:space="0" w:color="auto"/>
              <w:right w:val="nil"/>
            </w:tcBorders>
          </w:tcPr>
          <w:p w14:paraId="7B74F735" w14:textId="77777777"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0469F4" w14:paraId="66C69584" w14:textId="77777777" w:rsidTr="000469F4">
        <w:trPr>
          <w:trHeight w:val="1268"/>
          <w:jc w:val="center"/>
        </w:trPr>
        <w:tc>
          <w:tcPr>
            <w:tcW w:w="2791" w:type="dxa"/>
            <w:tcBorders>
              <w:top w:val="single" w:sz="4" w:space="0" w:color="auto"/>
              <w:left w:val="nil"/>
              <w:bottom w:val="single" w:sz="4" w:space="0" w:color="auto"/>
              <w:right w:val="nil"/>
            </w:tcBorders>
          </w:tcPr>
          <w:p w14:paraId="1FD074E8" w14:textId="77777777" w:rsidR="000469F4" w:rsidRPr="007F286F" w:rsidRDefault="000469F4" w:rsidP="00941203">
            <w:pPr>
              <w:spacing w:before="120" w:after="120"/>
              <w:jc w:val="both"/>
              <w:rPr>
                <w:b/>
                <w:i/>
              </w:rPr>
            </w:pPr>
            <w:r w:rsidRPr="007F286F">
              <w:rPr>
                <w:b/>
                <w:i/>
              </w:rPr>
              <w:t>Article history:</w:t>
            </w:r>
          </w:p>
          <w:p w14:paraId="1B21A247" w14:textId="34C15F98" w:rsidR="000469F4" w:rsidRDefault="000469F4" w:rsidP="00957C11">
            <w:pPr>
              <w:jc w:val="both"/>
            </w:pPr>
            <w:r w:rsidRPr="00957C11">
              <w:t>Received</w:t>
            </w:r>
            <w:r>
              <w:t xml:space="preserve"> </w:t>
            </w:r>
            <w:r w:rsidRPr="00523156">
              <w:t>m</w:t>
            </w:r>
            <w:r>
              <w:t>onth</w:t>
            </w:r>
            <w:r w:rsidRPr="00523156">
              <w:t xml:space="preserve"> dd, </w:t>
            </w:r>
            <w:proofErr w:type="spellStart"/>
            <w:r w:rsidRPr="00523156">
              <w:t>yyyy</w:t>
            </w:r>
            <w:proofErr w:type="spellEnd"/>
          </w:p>
          <w:p w14:paraId="745B47E5" w14:textId="5923129C" w:rsidR="000469F4" w:rsidRDefault="000469F4" w:rsidP="00957C11">
            <w:pPr>
              <w:jc w:val="both"/>
            </w:pPr>
            <w:r>
              <w:t xml:space="preserve">Revised </w:t>
            </w:r>
            <w:r w:rsidRPr="00523156">
              <w:t>m</w:t>
            </w:r>
            <w:r>
              <w:t>onth</w:t>
            </w:r>
            <w:r w:rsidRPr="00523156">
              <w:t xml:space="preserve"> dd, </w:t>
            </w:r>
            <w:proofErr w:type="spellStart"/>
            <w:r w:rsidRPr="00523156">
              <w:t>yyyy</w:t>
            </w:r>
            <w:proofErr w:type="spellEnd"/>
          </w:p>
          <w:p w14:paraId="6CE20EAE" w14:textId="2A701C75" w:rsidR="000469F4" w:rsidRDefault="000469F4" w:rsidP="00957C11">
            <w:pPr>
              <w:jc w:val="both"/>
            </w:pPr>
            <w:r>
              <w:t xml:space="preserve">Accepted </w:t>
            </w:r>
            <w:r w:rsidRPr="00523156">
              <w:t>m</w:t>
            </w:r>
            <w:r>
              <w:t>onth</w:t>
            </w:r>
            <w:r w:rsidRPr="00523156">
              <w:t xml:space="preserve"> dd, </w:t>
            </w:r>
            <w:proofErr w:type="spellStart"/>
            <w:r w:rsidRPr="00523156">
              <w:t>yyyy</w:t>
            </w:r>
            <w:proofErr w:type="spellEnd"/>
          </w:p>
          <w:p w14:paraId="375A1808" w14:textId="77777777" w:rsidR="000469F4" w:rsidRPr="00957C11" w:rsidRDefault="000469F4" w:rsidP="00941203">
            <w:pPr>
              <w:jc w:val="both"/>
            </w:pPr>
          </w:p>
        </w:tc>
        <w:tc>
          <w:tcPr>
            <w:tcW w:w="283" w:type="dxa"/>
            <w:vMerge w:val="restart"/>
            <w:tcBorders>
              <w:top w:val="nil"/>
              <w:left w:val="nil"/>
              <w:bottom w:val="nil"/>
              <w:right w:val="nil"/>
            </w:tcBorders>
          </w:tcPr>
          <w:p w14:paraId="1658B743" w14:textId="77777777" w:rsidR="000469F4" w:rsidRDefault="000469F4" w:rsidP="00957C11">
            <w:pPr>
              <w:spacing w:before="120"/>
              <w:jc w:val="both"/>
            </w:pPr>
          </w:p>
        </w:tc>
        <w:tc>
          <w:tcPr>
            <w:tcW w:w="5771" w:type="dxa"/>
            <w:vMerge w:val="restart"/>
            <w:tcBorders>
              <w:top w:val="single" w:sz="4" w:space="0" w:color="auto"/>
              <w:left w:val="nil"/>
              <w:right w:val="nil"/>
            </w:tcBorders>
          </w:tcPr>
          <w:p w14:paraId="647B3C56" w14:textId="01D94EE3" w:rsidR="000469F4" w:rsidRPr="00957C11" w:rsidRDefault="000469F4" w:rsidP="00957C11">
            <w:pPr>
              <w:spacing w:before="120"/>
              <w:jc w:val="both"/>
            </w:pPr>
            <w:r w:rsidRPr="00BE2FF2">
              <w:rPr>
                <w:iCs/>
                <w:color w:val="000000"/>
                <w:sz w:val="18"/>
                <w:szCs w:val="18"/>
              </w:rPr>
              <w:t xml:space="preserve">An abstract is often presented separate from the article, so it must be able to stand alone. </w:t>
            </w:r>
            <w:r>
              <w:rPr>
                <w:iCs/>
                <w:color w:val="000000"/>
                <w:sz w:val="18"/>
                <w:szCs w:val="18"/>
              </w:rPr>
              <w:t xml:space="preserve"> A well-prepared abstract enables the reader to identify the basic content of a document quickly and accurately, to determine its relevance to their interests, and thus to decide whether to read the document in its entirety.</w:t>
            </w:r>
            <w:r>
              <w:rPr>
                <w:sz w:val="18"/>
                <w:szCs w:val="18"/>
              </w:rPr>
              <w:t xml:space="preserve"> </w:t>
            </w:r>
            <w:r>
              <w:rPr>
                <w:iCs/>
                <w:color w:val="000000"/>
                <w:sz w:val="18"/>
                <w:szCs w:val="18"/>
              </w:rPr>
              <w:t xml:space="preserve">The abstract should be informative and completely self-explanatory, provide a clear statement of the problem, the proposed approach or solution, and point out major findings and conclusions. </w:t>
            </w:r>
            <w:r>
              <w:rPr>
                <w:b/>
                <w:bCs/>
                <w:iCs/>
                <w:color w:val="000000"/>
                <w:sz w:val="18"/>
                <w:szCs w:val="18"/>
              </w:rPr>
              <w:t xml:space="preserve">The Abstract should be 150 to 250 words in length. </w:t>
            </w:r>
            <w:r w:rsidRPr="00BE2FF2">
              <w:rPr>
                <w:iCs/>
                <w:color w:val="000000"/>
                <w:sz w:val="18"/>
                <w:szCs w:val="18"/>
              </w:rPr>
              <w:t xml:space="preserve">References should be avoided, but if essential, then cite the author(s) and year(s). </w:t>
            </w:r>
            <w:r>
              <w:rPr>
                <w:iCs/>
                <w:color w:val="000000"/>
                <w:sz w:val="18"/>
                <w:szCs w:val="18"/>
              </w:rPr>
              <w:t>Standard nomenclature should be used</w:t>
            </w:r>
            <w:r w:rsidRPr="00BE2FF2">
              <w:rPr>
                <w:iCs/>
                <w:color w:val="000000"/>
                <w:sz w:val="18"/>
                <w:szCs w:val="18"/>
              </w:rPr>
              <w:t>,</w:t>
            </w:r>
            <w:r>
              <w:rPr>
                <w:iCs/>
                <w:color w:val="000000"/>
                <w:sz w:val="18"/>
                <w:szCs w:val="18"/>
              </w:rPr>
              <w:t xml:space="preserve"> and</w:t>
            </w:r>
            <w:r w:rsidRPr="00BE2FF2">
              <w:rPr>
                <w:iCs/>
                <w:color w:val="000000"/>
                <w:sz w:val="18"/>
                <w:szCs w:val="18"/>
              </w:rPr>
              <w:t xml:space="preserve"> non-standard or uncommon abbreviations should be avoided, but if essential they must be defined at their first mention in the abstract itself.</w:t>
            </w:r>
            <w:r>
              <w:rPr>
                <w:iCs/>
                <w:color w:val="000000"/>
                <w:sz w:val="18"/>
                <w:szCs w:val="18"/>
              </w:rPr>
              <w:t xml:space="preserve"> No literature should be cited.</w:t>
            </w:r>
            <w:r>
              <w:rPr>
                <w:sz w:val="18"/>
                <w:szCs w:val="18"/>
              </w:rPr>
              <w:t xml:space="preserve"> </w:t>
            </w:r>
            <w:r>
              <w:rPr>
                <w:iCs/>
                <w:color w:val="000000"/>
                <w:sz w:val="18"/>
                <w:szCs w:val="18"/>
              </w:rPr>
              <w:t>The keyword list provides the opportunity to add 5 to</w:t>
            </w:r>
            <w:r w:rsidRPr="00BE2FF2">
              <w:rPr>
                <w:iCs/>
                <w:color w:val="000000"/>
                <w:sz w:val="18"/>
                <w:szCs w:val="18"/>
              </w:rPr>
              <w:t xml:space="preserve"> 7 </w:t>
            </w:r>
            <w:r>
              <w:rPr>
                <w:iCs/>
                <w:color w:val="000000"/>
                <w:sz w:val="18"/>
                <w:szCs w:val="18"/>
              </w:rPr>
              <w:t xml:space="preserve">keywords, used by the indexing and abstracting services, in addition to those already present in the title </w:t>
            </w:r>
            <w:r>
              <w:rPr>
                <w:sz w:val="18"/>
                <w:szCs w:val="18"/>
              </w:rPr>
              <w:t xml:space="preserve">(9 </w:t>
            </w:r>
            <w:proofErr w:type="spellStart"/>
            <w:r>
              <w:rPr>
                <w:sz w:val="18"/>
                <w:szCs w:val="18"/>
              </w:rPr>
              <w:t>pt</w:t>
            </w:r>
            <w:proofErr w:type="spellEnd"/>
            <w:r>
              <w:rPr>
                <w:sz w:val="18"/>
                <w:szCs w:val="18"/>
              </w:rPr>
              <w:t>)</w:t>
            </w:r>
            <w:r>
              <w:rPr>
                <w:iCs/>
                <w:color w:val="000000"/>
                <w:sz w:val="18"/>
                <w:szCs w:val="18"/>
              </w:rPr>
              <w:t>.</w:t>
            </w:r>
          </w:p>
        </w:tc>
      </w:tr>
      <w:tr w:rsidR="000469F4" w14:paraId="5AB61300" w14:textId="77777777" w:rsidTr="000469F4">
        <w:trPr>
          <w:trHeight w:val="1620"/>
          <w:jc w:val="center"/>
        </w:trPr>
        <w:tc>
          <w:tcPr>
            <w:tcW w:w="2791" w:type="dxa"/>
            <w:tcBorders>
              <w:top w:val="single" w:sz="4" w:space="0" w:color="auto"/>
              <w:left w:val="nil"/>
              <w:bottom w:val="single" w:sz="4" w:space="0" w:color="auto"/>
              <w:right w:val="nil"/>
            </w:tcBorders>
          </w:tcPr>
          <w:p w14:paraId="6B62E6D5" w14:textId="77777777" w:rsidR="000469F4" w:rsidRPr="007F286F" w:rsidRDefault="000469F4" w:rsidP="00941203">
            <w:pPr>
              <w:spacing w:before="120" w:after="120"/>
              <w:jc w:val="both"/>
              <w:rPr>
                <w:b/>
                <w:i/>
              </w:rPr>
            </w:pPr>
            <w:r w:rsidRPr="007F286F">
              <w:rPr>
                <w:b/>
                <w:i/>
              </w:rPr>
              <w:t>Keyword</w:t>
            </w:r>
            <w:r>
              <w:rPr>
                <w:b/>
                <w:i/>
              </w:rPr>
              <w:t>s</w:t>
            </w:r>
            <w:r w:rsidRPr="007F286F">
              <w:rPr>
                <w:b/>
                <w:i/>
              </w:rPr>
              <w:t>:</w:t>
            </w:r>
          </w:p>
          <w:p w14:paraId="4C3E5936" w14:textId="77777777" w:rsidR="000469F4" w:rsidRDefault="000469F4" w:rsidP="00941203">
            <w:pPr>
              <w:jc w:val="both"/>
            </w:pPr>
            <w:r>
              <w:t>First keyword</w:t>
            </w:r>
          </w:p>
          <w:p w14:paraId="0EF152BF" w14:textId="77777777" w:rsidR="000469F4" w:rsidRDefault="000469F4" w:rsidP="00941203">
            <w:pPr>
              <w:jc w:val="both"/>
            </w:pPr>
            <w:r>
              <w:t>Second keyword</w:t>
            </w:r>
          </w:p>
          <w:p w14:paraId="5B0032F7" w14:textId="77777777" w:rsidR="000469F4" w:rsidRDefault="000469F4" w:rsidP="00941203">
            <w:pPr>
              <w:jc w:val="both"/>
            </w:pPr>
            <w:r>
              <w:t>Third keyword</w:t>
            </w:r>
          </w:p>
          <w:p w14:paraId="31B015CF" w14:textId="77777777" w:rsidR="000469F4" w:rsidRDefault="000469F4" w:rsidP="00941203">
            <w:pPr>
              <w:jc w:val="both"/>
            </w:pPr>
            <w:r>
              <w:t>Fourth keyword</w:t>
            </w:r>
          </w:p>
          <w:p w14:paraId="4B416523" w14:textId="77777777" w:rsidR="000469F4" w:rsidRPr="007F286F" w:rsidRDefault="000469F4" w:rsidP="00941203">
            <w:pPr>
              <w:jc w:val="both"/>
              <w:rPr>
                <w:b/>
                <w:i/>
              </w:rPr>
            </w:pPr>
            <w:r>
              <w:t>Fifth keyword</w:t>
            </w:r>
          </w:p>
        </w:tc>
        <w:tc>
          <w:tcPr>
            <w:tcW w:w="283" w:type="dxa"/>
            <w:vMerge/>
            <w:tcBorders>
              <w:top w:val="nil"/>
              <w:left w:val="nil"/>
              <w:bottom w:val="nil"/>
              <w:right w:val="nil"/>
            </w:tcBorders>
          </w:tcPr>
          <w:p w14:paraId="26D1DFBC" w14:textId="77777777" w:rsidR="000469F4" w:rsidRDefault="000469F4" w:rsidP="00957C11">
            <w:pPr>
              <w:spacing w:before="120"/>
              <w:jc w:val="both"/>
            </w:pPr>
          </w:p>
        </w:tc>
        <w:tc>
          <w:tcPr>
            <w:tcW w:w="5771" w:type="dxa"/>
            <w:vMerge/>
            <w:tcBorders>
              <w:left w:val="nil"/>
              <w:bottom w:val="single" w:sz="4" w:space="0" w:color="auto"/>
              <w:right w:val="nil"/>
            </w:tcBorders>
          </w:tcPr>
          <w:p w14:paraId="5C80F7FA" w14:textId="77777777" w:rsidR="000469F4" w:rsidRPr="00957C11" w:rsidRDefault="000469F4" w:rsidP="00957C11">
            <w:pPr>
              <w:spacing w:before="120"/>
              <w:jc w:val="both"/>
              <w:rPr>
                <w:iCs/>
                <w:color w:val="000000"/>
                <w:sz w:val="18"/>
                <w:szCs w:val="18"/>
              </w:rPr>
            </w:pPr>
          </w:p>
        </w:tc>
      </w:tr>
      <w:tr w:rsidR="007F286F" w14:paraId="294A13ED" w14:textId="77777777" w:rsidTr="000469F4">
        <w:trPr>
          <w:jc w:val="center"/>
        </w:trPr>
        <w:tc>
          <w:tcPr>
            <w:tcW w:w="8845" w:type="dxa"/>
            <w:gridSpan w:val="3"/>
            <w:tcBorders>
              <w:top w:val="nil"/>
              <w:left w:val="nil"/>
              <w:bottom w:val="double" w:sz="4" w:space="0" w:color="auto"/>
              <w:right w:val="nil"/>
            </w:tcBorders>
          </w:tcPr>
          <w:p w14:paraId="49D20AE3" w14:textId="77777777" w:rsidR="007F286F" w:rsidRPr="007F286F" w:rsidRDefault="007F286F" w:rsidP="00941203">
            <w:pPr>
              <w:spacing w:before="120" w:after="120"/>
              <w:rPr>
                <w:b/>
                <w:i/>
              </w:rPr>
            </w:pPr>
            <w:r w:rsidRPr="007F286F">
              <w:rPr>
                <w:b/>
                <w:i/>
              </w:rPr>
              <w:t>Corresponding Author:</w:t>
            </w:r>
          </w:p>
          <w:p w14:paraId="52A5FA92" w14:textId="496F29DF" w:rsidR="000469F4" w:rsidRPr="000469F4" w:rsidRDefault="000469F4" w:rsidP="000469F4">
            <w:pPr>
              <w:shd w:val="clear" w:color="auto" w:fill="FFFFFF" w:themeFill="background1"/>
              <w:jc w:val="both"/>
              <w:rPr>
                <w:color w:val="000000" w:themeColor="text1"/>
                <w:lang w:val="en-IQ"/>
              </w:rPr>
            </w:pPr>
            <w:r w:rsidRPr="000469F4">
              <w:rPr>
                <w:color w:val="000000" w:themeColor="text1"/>
                <w:lang w:val="en-IQ"/>
              </w:rPr>
              <w:t xml:space="preserve">Hayder Naser Khraibet </w:t>
            </w:r>
          </w:p>
          <w:p w14:paraId="7E7823F3" w14:textId="49AEE2E3" w:rsidR="000469F4" w:rsidRDefault="000469F4" w:rsidP="00C65E31">
            <w:pPr>
              <w:shd w:val="clear" w:color="auto" w:fill="FFFFFF" w:themeFill="background1"/>
              <w:jc w:val="both"/>
              <w:rPr>
                <w:color w:val="000000" w:themeColor="text1"/>
              </w:rPr>
            </w:pPr>
            <w:r w:rsidRPr="000469F4">
              <w:rPr>
                <w:color w:val="000000" w:themeColor="text1"/>
              </w:rPr>
              <w:t>Department of Computer Science, Shatt Al-Arab University College, Basra, Iraq</w:t>
            </w:r>
            <w:r w:rsidRPr="004E3F8A">
              <w:rPr>
                <w:color w:val="000000" w:themeColor="text1"/>
              </w:rPr>
              <w:t xml:space="preserve"> </w:t>
            </w:r>
          </w:p>
          <w:p w14:paraId="3C411EDF" w14:textId="1F2FEE92" w:rsidR="00941203" w:rsidRPr="00957C11" w:rsidRDefault="00C65E31" w:rsidP="00C65E31">
            <w:pPr>
              <w:spacing w:after="120"/>
              <w:rPr>
                <w:color w:val="000000"/>
                <w:sz w:val="18"/>
                <w:szCs w:val="18"/>
              </w:rPr>
            </w:pPr>
            <w:r w:rsidRPr="00F87773">
              <w:t xml:space="preserve">Email: </w:t>
            </w:r>
            <w:hyperlink r:id="rId8" w:history="1">
              <w:r w:rsidR="000469F4" w:rsidRPr="000469F4">
                <w:rPr>
                  <w:color w:val="000000" w:themeColor="text1"/>
                </w:rPr>
                <w:t>hayderkhraibet@sa-uc.edu.iq</w:t>
              </w:r>
            </w:hyperlink>
            <w:r w:rsidR="000469F4">
              <w:rPr>
                <w:rFonts w:asciiTheme="majorBidi" w:hAnsiTheme="majorBidi" w:cstheme="majorBidi"/>
                <w:sz w:val="28"/>
                <w:szCs w:val="28"/>
              </w:rPr>
              <w:t xml:space="preserve"> </w:t>
            </w:r>
          </w:p>
        </w:tc>
      </w:tr>
    </w:tbl>
    <w:p w14:paraId="19EB2672" w14:textId="6182C3C4" w:rsidR="00957C11" w:rsidRDefault="00957C11" w:rsidP="00957C11">
      <w:pPr>
        <w:jc w:val="both"/>
      </w:pPr>
    </w:p>
    <w:p w14:paraId="6D2E917E" w14:textId="77777777" w:rsidR="00C07BEF" w:rsidRPr="00957C11" w:rsidRDefault="00C07BEF" w:rsidP="00957C11">
      <w:pPr>
        <w:jc w:val="both"/>
      </w:pPr>
    </w:p>
    <w:p w14:paraId="2E9083D0" w14:textId="77777777"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(10 PT)</w:t>
      </w:r>
    </w:p>
    <w:p w14:paraId="2247CDE2" w14:textId="50E92B20" w:rsidR="00E619D6" w:rsidRPr="000469F4" w:rsidRDefault="006E1F55" w:rsidP="00E619D6">
      <w:pPr>
        <w:ind w:firstLine="720"/>
        <w:jc w:val="both"/>
      </w:pPr>
      <w:bookmarkStart w:id="1" w:name="_Hlk80000636"/>
      <w:r w:rsidRPr="003D6B19">
        <w:rPr>
          <w:lang w:val="id-ID"/>
        </w:rPr>
        <w:t>The main text format consists of a flat left-right columns on A4 paper (quarto). The margin text from the left</w:t>
      </w:r>
      <w:r w:rsidRPr="003D6B19">
        <w:t xml:space="preserve"> and </w:t>
      </w:r>
      <w:r w:rsidRPr="003D6B19">
        <w:rPr>
          <w:lang w:val="id-ID"/>
        </w:rPr>
        <w:t>top</w:t>
      </w:r>
      <w:r w:rsidRPr="003D6B19">
        <w:t xml:space="preserve"> are 2.5 cm</w:t>
      </w:r>
      <w:r w:rsidRPr="003D6B19">
        <w:rPr>
          <w:lang w:val="id-ID"/>
        </w:rPr>
        <w:t xml:space="preserve">, </w:t>
      </w:r>
      <w:r w:rsidRPr="003D6B19">
        <w:t xml:space="preserve">right </w:t>
      </w:r>
      <w:r w:rsidRPr="003D6B19">
        <w:rPr>
          <w:lang w:val="id-ID"/>
        </w:rPr>
        <w:t>and bottom</w:t>
      </w:r>
      <w:r w:rsidRPr="003D6B19">
        <w:t xml:space="preserve"> are</w:t>
      </w:r>
      <w:r w:rsidRPr="003D6B19">
        <w:rPr>
          <w:lang w:val="id-ID"/>
        </w:rPr>
        <w:t xml:space="preserve"> </w:t>
      </w:r>
      <w:r w:rsidRPr="003D6B19">
        <w:t>2</w:t>
      </w:r>
      <w:r w:rsidRPr="003D6B19">
        <w:rPr>
          <w:lang w:val="id-ID"/>
        </w:rPr>
        <w:t xml:space="preserve"> cm. The </w:t>
      </w:r>
      <w:proofErr w:type="spellStart"/>
      <w:r w:rsidRPr="003D6B19">
        <w:rPr>
          <w:lang w:val="id-ID"/>
        </w:rPr>
        <w:t>manuscript</w:t>
      </w:r>
      <w:proofErr w:type="spellEnd"/>
      <w:r w:rsidRPr="003D6B19">
        <w:rPr>
          <w:lang w:val="id-ID"/>
        </w:rPr>
        <w:t xml:space="preserve"> </w:t>
      </w:r>
      <w:proofErr w:type="spellStart"/>
      <w:r w:rsidRPr="003D6B19">
        <w:rPr>
          <w:lang w:val="id-ID"/>
        </w:rPr>
        <w:t>is</w:t>
      </w:r>
      <w:proofErr w:type="spellEnd"/>
      <w:r w:rsidRPr="003D6B19">
        <w:rPr>
          <w:lang w:val="id-ID"/>
        </w:rPr>
        <w:t xml:space="preserve"> </w:t>
      </w:r>
      <w:proofErr w:type="spellStart"/>
      <w:r w:rsidRPr="003D6B19">
        <w:rPr>
          <w:lang w:val="id-ID"/>
        </w:rPr>
        <w:t>written</w:t>
      </w:r>
      <w:proofErr w:type="spellEnd"/>
      <w:r w:rsidRPr="003D6B19">
        <w:rPr>
          <w:lang w:val="id-ID"/>
        </w:rPr>
        <w:t xml:space="preserve"> in Microsoft Word, </w:t>
      </w:r>
      <w:proofErr w:type="spellStart"/>
      <w:r w:rsidRPr="003D6B19">
        <w:rPr>
          <w:lang w:val="id-ID"/>
        </w:rPr>
        <w:t>single</w:t>
      </w:r>
      <w:proofErr w:type="spellEnd"/>
      <w:r w:rsidRPr="003D6B19">
        <w:rPr>
          <w:lang w:val="id-ID"/>
        </w:rPr>
        <w:t xml:space="preserve"> </w:t>
      </w:r>
      <w:proofErr w:type="spellStart"/>
      <w:r w:rsidRPr="003D6B19">
        <w:rPr>
          <w:lang w:val="id-ID"/>
        </w:rPr>
        <w:t>space</w:t>
      </w:r>
      <w:proofErr w:type="spellEnd"/>
      <w:r w:rsidRPr="003D6B19">
        <w:rPr>
          <w:lang w:val="id-ID"/>
        </w:rPr>
        <w:t xml:space="preserve">, </w:t>
      </w:r>
      <w:r w:rsidRPr="003D6B19">
        <w:t>Time New Roman</w:t>
      </w:r>
      <w:r w:rsidRPr="003D6B19">
        <w:rPr>
          <w:lang w:val="id-ID"/>
        </w:rPr>
        <w:t xml:space="preserve"> 10</w:t>
      </w:r>
      <w:r w:rsidRPr="003D6B19">
        <w:t xml:space="preserve"> </w:t>
      </w:r>
      <w:proofErr w:type="spellStart"/>
      <w:r w:rsidRPr="003D6B19">
        <w:rPr>
          <w:lang w:val="id-ID"/>
        </w:rPr>
        <w:t>pt</w:t>
      </w:r>
      <w:proofErr w:type="spellEnd"/>
      <w:r>
        <w:t>,</w:t>
      </w:r>
      <w:r w:rsidRPr="003D6B19">
        <w:rPr>
          <w:lang w:val="id-ID"/>
        </w:rPr>
        <w:t xml:space="preserve"> </w:t>
      </w:r>
      <w:proofErr w:type="spellStart"/>
      <w:r w:rsidRPr="003D6B19">
        <w:rPr>
          <w:lang w:val="id-ID"/>
        </w:rPr>
        <w:t>and</w:t>
      </w:r>
      <w:proofErr w:type="spellEnd"/>
      <w:r w:rsidRPr="003D6B19">
        <w:rPr>
          <w:lang w:val="id-ID"/>
        </w:rPr>
        <w:t xml:space="preserve"> </w:t>
      </w:r>
      <w:proofErr w:type="spellStart"/>
      <w:r w:rsidRPr="003D6B19">
        <w:rPr>
          <w:lang w:val="id-ID"/>
        </w:rPr>
        <w:t>maximum</w:t>
      </w:r>
      <w:proofErr w:type="spellEnd"/>
      <w:r w:rsidRPr="003D6B19">
        <w:rPr>
          <w:lang w:val="id-ID"/>
        </w:rPr>
        <w:t xml:space="preserve"> 12 </w:t>
      </w:r>
      <w:proofErr w:type="spellStart"/>
      <w:r w:rsidRPr="003D6B19">
        <w:rPr>
          <w:lang w:val="id-ID"/>
        </w:rPr>
        <w:t>pages</w:t>
      </w:r>
      <w:proofErr w:type="spellEnd"/>
      <w:r>
        <w:t xml:space="preserve"> for original research article, or </w:t>
      </w:r>
      <w:proofErr w:type="spellStart"/>
      <w:r w:rsidRPr="003D6B19">
        <w:rPr>
          <w:lang w:val="id-ID"/>
        </w:rPr>
        <w:t>maximum</w:t>
      </w:r>
      <w:proofErr w:type="spellEnd"/>
      <w:r w:rsidRPr="003D6B19">
        <w:rPr>
          <w:lang w:val="id-ID"/>
        </w:rPr>
        <w:t xml:space="preserve"> </w:t>
      </w:r>
      <w:r>
        <w:t>16 pages for review/survey paper</w:t>
      </w:r>
      <w:r w:rsidRPr="003D6B19">
        <w:rPr>
          <w:lang w:val="id-ID"/>
        </w:rPr>
        <w:t xml:space="preserve">, </w:t>
      </w:r>
      <w:proofErr w:type="spellStart"/>
      <w:r w:rsidRPr="003D6B19">
        <w:rPr>
          <w:lang w:val="id-ID"/>
        </w:rPr>
        <w:t>which</w:t>
      </w:r>
      <w:proofErr w:type="spellEnd"/>
      <w:r w:rsidRPr="003D6B19">
        <w:rPr>
          <w:lang w:val="id-ID"/>
        </w:rPr>
        <w:t xml:space="preserve"> </w:t>
      </w:r>
      <w:proofErr w:type="spellStart"/>
      <w:r w:rsidRPr="003D6B19">
        <w:rPr>
          <w:lang w:val="id-ID"/>
        </w:rPr>
        <w:t>can</w:t>
      </w:r>
      <w:proofErr w:type="spellEnd"/>
      <w:r w:rsidRPr="003D6B19">
        <w:rPr>
          <w:lang w:val="id-ID"/>
        </w:rPr>
        <w:t xml:space="preserve"> </w:t>
      </w:r>
      <w:proofErr w:type="spellStart"/>
      <w:r w:rsidRPr="003D6B19">
        <w:rPr>
          <w:lang w:val="id-ID"/>
        </w:rPr>
        <w:t>be</w:t>
      </w:r>
      <w:proofErr w:type="spellEnd"/>
      <w:r w:rsidRPr="003D6B19">
        <w:rPr>
          <w:lang w:val="id-ID"/>
        </w:rPr>
        <w:t xml:space="preserve"> </w:t>
      </w:r>
      <w:proofErr w:type="spellStart"/>
      <w:r w:rsidRPr="003D6B19">
        <w:rPr>
          <w:lang w:val="id-ID"/>
        </w:rPr>
        <w:t>downloaded</w:t>
      </w:r>
      <w:proofErr w:type="spellEnd"/>
      <w:r w:rsidRPr="003D6B19">
        <w:rPr>
          <w:lang w:val="id-ID"/>
        </w:rPr>
        <w:t xml:space="preserve"> </w:t>
      </w:r>
      <w:proofErr w:type="spellStart"/>
      <w:r w:rsidRPr="003D6B19">
        <w:rPr>
          <w:lang w:val="id-ID"/>
        </w:rPr>
        <w:t>at</w:t>
      </w:r>
      <w:proofErr w:type="spellEnd"/>
      <w:r w:rsidRPr="003D6B19">
        <w:rPr>
          <w:lang w:val="id-ID"/>
        </w:rPr>
        <w:t xml:space="preserve"> </w:t>
      </w:r>
      <w:proofErr w:type="spellStart"/>
      <w:r w:rsidRPr="003D6B19">
        <w:rPr>
          <w:lang w:val="id-ID"/>
        </w:rPr>
        <w:t>the</w:t>
      </w:r>
      <w:proofErr w:type="spellEnd"/>
      <w:r w:rsidRPr="003D6B19">
        <w:rPr>
          <w:lang w:val="id-ID"/>
        </w:rPr>
        <w:t xml:space="preserve"> </w:t>
      </w:r>
      <w:proofErr w:type="spellStart"/>
      <w:r w:rsidRPr="003D6B19">
        <w:rPr>
          <w:lang w:val="id-ID"/>
        </w:rPr>
        <w:t>website</w:t>
      </w:r>
      <w:bookmarkEnd w:id="1"/>
      <w:proofErr w:type="spellEnd"/>
      <w:r w:rsidR="000469F4">
        <w:t xml:space="preserve"> of the journal.</w:t>
      </w:r>
    </w:p>
    <w:p w14:paraId="52A19310" w14:textId="17D62359" w:rsidR="006E1F55" w:rsidRDefault="006E1F55" w:rsidP="006E1F55">
      <w:pPr>
        <w:ind w:firstLine="720"/>
        <w:jc w:val="both"/>
        <w:rPr>
          <w:lang w:val="id-ID"/>
        </w:rPr>
      </w:pPr>
      <w:bookmarkStart w:id="2" w:name="_Hlk80000657"/>
      <w:r w:rsidRPr="003D6B19">
        <w:rPr>
          <w:lang w:val="id-ID"/>
        </w:rPr>
        <w:t xml:space="preserve">A </w:t>
      </w:r>
      <w:proofErr w:type="spellStart"/>
      <w:r w:rsidRPr="003D6B19">
        <w:rPr>
          <w:lang w:val="id-ID"/>
        </w:rPr>
        <w:t>title</w:t>
      </w:r>
      <w:proofErr w:type="spellEnd"/>
      <w:r w:rsidRPr="003D6B19">
        <w:t xml:space="preserve"> of article</w:t>
      </w:r>
      <w:r w:rsidRPr="003D6B19">
        <w:rPr>
          <w:lang w:val="id-ID"/>
        </w:rPr>
        <w:t xml:space="preserve"> </w:t>
      </w:r>
      <w:proofErr w:type="spellStart"/>
      <w:r w:rsidRPr="003D6B19">
        <w:rPr>
          <w:lang w:val="id-ID"/>
        </w:rPr>
        <w:t>should</w:t>
      </w:r>
      <w:proofErr w:type="spellEnd"/>
      <w:r w:rsidRPr="003D6B19">
        <w:rPr>
          <w:lang w:val="id-ID"/>
        </w:rPr>
        <w:t xml:space="preserve"> </w:t>
      </w:r>
      <w:proofErr w:type="spellStart"/>
      <w:r w:rsidRPr="003D6B19">
        <w:rPr>
          <w:lang w:val="id-ID"/>
        </w:rPr>
        <w:t>be</w:t>
      </w:r>
      <w:proofErr w:type="spellEnd"/>
      <w:r w:rsidRPr="003D6B19">
        <w:rPr>
          <w:lang w:val="id-ID"/>
        </w:rPr>
        <w:t xml:space="preserve"> </w:t>
      </w:r>
      <w:proofErr w:type="spellStart"/>
      <w:r w:rsidRPr="003D6B19">
        <w:rPr>
          <w:lang w:val="id-ID"/>
        </w:rPr>
        <w:t>the</w:t>
      </w:r>
      <w:proofErr w:type="spellEnd"/>
      <w:r w:rsidRPr="003D6B19">
        <w:rPr>
          <w:lang w:val="id-ID"/>
        </w:rPr>
        <w:t xml:space="preserve"> </w:t>
      </w:r>
      <w:proofErr w:type="spellStart"/>
      <w:r w:rsidRPr="003D6B19">
        <w:rPr>
          <w:lang w:val="id-ID"/>
        </w:rPr>
        <w:t>fewest</w:t>
      </w:r>
      <w:proofErr w:type="spellEnd"/>
      <w:r w:rsidRPr="003D6B19">
        <w:rPr>
          <w:lang w:val="id-ID"/>
        </w:rPr>
        <w:t xml:space="preserve"> </w:t>
      </w:r>
      <w:proofErr w:type="spellStart"/>
      <w:r w:rsidRPr="003D6B19">
        <w:rPr>
          <w:lang w:val="id-ID"/>
        </w:rPr>
        <w:t>possible</w:t>
      </w:r>
      <w:proofErr w:type="spellEnd"/>
      <w:r w:rsidRPr="003D6B19">
        <w:rPr>
          <w:lang w:val="id-ID"/>
        </w:rPr>
        <w:t xml:space="preserve"> </w:t>
      </w:r>
      <w:proofErr w:type="spellStart"/>
      <w:r w:rsidRPr="003D6B19">
        <w:rPr>
          <w:lang w:val="id-ID"/>
        </w:rPr>
        <w:t>words</w:t>
      </w:r>
      <w:proofErr w:type="spellEnd"/>
      <w:r w:rsidRPr="003D6B19">
        <w:rPr>
          <w:lang w:val="id-ID"/>
        </w:rPr>
        <w:t xml:space="preserve"> </w:t>
      </w:r>
      <w:proofErr w:type="spellStart"/>
      <w:r w:rsidRPr="003D6B19">
        <w:rPr>
          <w:lang w:val="id-ID"/>
        </w:rPr>
        <w:t>that</w:t>
      </w:r>
      <w:proofErr w:type="spellEnd"/>
      <w:r w:rsidRPr="003D6B19">
        <w:rPr>
          <w:lang w:val="id-ID"/>
        </w:rPr>
        <w:t xml:space="preserve"> </w:t>
      </w:r>
      <w:proofErr w:type="spellStart"/>
      <w:r w:rsidRPr="003D6B19">
        <w:rPr>
          <w:lang w:val="id-ID"/>
        </w:rPr>
        <w:t>accurately</w:t>
      </w:r>
      <w:proofErr w:type="spellEnd"/>
      <w:r w:rsidRPr="003D6B19">
        <w:rPr>
          <w:lang w:val="id-ID"/>
        </w:rPr>
        <w:t xml:space="preserve"> </w:t>
      </w:r>
      <w:proofErr w:type="spellStart"/>
      <w:r w:rsidRPr="003D6B19">
        <w:rPr>
          <w:lang w:val="id-ID"/>
        </w:rPr>
        <w:t>describe</w:t>
      </w:r>
      <w:proofErr w:type="spellEnd"/>
      <w:r w:rsidRPr="003D6B19">
        <w:rPr>
          <w:lang w:val="id-ID"/>
        </w:rPr>
        <w:t xml:space="preserve"> </w:t>
      </w:r>
      <w:proofErr w:type="spellStart"/>
      <w:r w:rsidRPr="003D6B19">
        <w:rPr>
          <w:lang w:val="id-ID"/>
        </w:rPr>
        <w:t>the</w:t>
      </w:r>
      <w:proofErr w:type="spellEnd"/>
      <w:r w:rsidRPr="003D6B19">
        <w:rPr>
          <w:lang w:val="id-ID"/>
        </w:rPr>
        <w:t xml:space="preserve"> </w:t>
      </w:r>
      <w:proofErr w:type="spellStart"/>
      <w:r w:rsidRPr="003D6B19">
        <w:rPr>
          <w:lang w:val="id-ID"/>
        </w:rPr>
        <w:t>content</w:t>
      </w:r>
      <w:proofErr w:type="spellEnd"/>
      <w:r w:rsidRPr="003D6B19">
        <w:rPr>
          <w:lang w:val="id-ID"/>
        </w:rPr>
        <w:t xml:space="preserve"> </w:t>
      </w:r>
      <w:proofErr w:type="spellStart"/>
      <w:r w:rsidRPr="003D6B19">
        <w:rPr>
          <w:lang w:val="id-ID"/>
        </w:rPr>
        <w:t>of</w:t>
      </w:r>
      <w:proofErr w:type="spellEnd"/>
      <w:r w:rsidRPr="003D6B19">
        <w:rPr>
          <w:lang w:val="id-ID"/>
        </w:rPr>
        <w:t xml:space="preserve"> </w:t>
      </w:r>
      <w:proofErr w:type="spellStart"/>
      <w:r w:rsidRPr="003D6B19">
        <w:rPr>
          <w:lang w:val="id-ID"/>
        </w:rPr>
        <w:t>the</w:t>
      </w:r>
      <w:proofErr w:type="spellEnd"/>
      <w:r w:rsidRPr="003D6B19">
        <w:rPr>
          <w:lang w:val="id-ID"/>
        </w:rPr>
        <w:t xml:space="preserve"> </w:t>
      </w:r>
      <w:proofErr w:type="spellStart"/>
      <w:r w:rsidRPr="003D6B19">
        <w:rPr>
          <w:lang w:val="id-ID"/>
        </w:rPr>
        <w:t>paper</w:t>
      </w:r>
      <w:proofErr w:type="spellEnd"/>
      <w:r w:rsidRPr="003D6B19">
        <w:rPr>
          <w:lang w:val="id-ID"/>
        </w:rPr>
        <w:t xml:space="preserve">. </w:t>
      </w:r>
      <w:r>
        <w:t>The</w:t>
      </w:r>
      <w:r w:rsidRPr="00201F3F">
        <w:rPr>
          <w:lang w:val="id-ID"/>
        </w:rPr>
        <w:t xml:space="preserv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w:t>
      </w:r>
      <w:r w:rsidRPr="00213B7B">
        <w:rPr>
          <w:lang w:val="id-ID"/>
        </w:rPr>
        <w:t>Avoid  writing long  formulas with subscripts in the title</w:t>
      </w:r>
      <w:r>
        <w:t xml:space="preserve">. </w:t>
      </w:r>
      <w:r w:rsidRPr="003D6B19">
        <w:rPr>
          <w:lang w:val="id-ID"/>
        </w:rPr>
        <w:t>Omit all waste words such as "</w:t>
      </w:r>
      <w:r w:rsidRPr="003D6B19">
        <w:rPr>
          <w:i/>
          <w:lang w:val="id-ID"/>
        </w:rPr>
        <w:t>A study of ...</w:t>
      </w:r>
      <w:r w:rsidRPr="003D6B19">
        <w:rPr>
          <w:lang w:val="id-ID"/>
        </w:rPr>
        <w:t>", "</w:t>
      </w:r>
      <w:r w:rsidRPr="003D6B19">
        <w:rPr>
          <w:i/>
          <w:lang w:val="id-ID"/>
        </w:rPr>
        <w:t>Investigations of ...</w:t>
      </w:r>
      <w:r w:rsidRPr="003D6B19">
        <w:rPr>
          <w:lang w:val="id-ID"/>
        </w:rPr>
        <w:t>", "</w:t>
      </w:r>
      <w:r w:rsidRPr="003D6B19">
        <w:rPr>
          <w:i/>
          <w:lang w:val="id-ID"/>
        </w:rPr>
        <w:t>Implementation of ...</w:t>
      </w:r>
      <w:r w:rsidRPr="003D6B19">
        <w:t>”</w:t>
      </w:r>
      <w:r w:rsidRPr="003D6B19">
        <w:rPr>
          <w:lang w:val="id-ID"/>
        </w:rPr>
        <w:t>, "</w:t>
      </w:r>
      <w:r w:rsidRPr="003D6B19">
        <w:rPr>
          <w:i/>
          <w:lang w:val="id-ID"/>
        </w:rPr>
        <w:t>Observations on ...</w:t>
      </w:r>
      <w:r w:rsidRPr="003D6B19">
        <w:rPr>
          <w:lang w:val="id-ID"/>
        </w:rPr>
        <w:t>", "</w:t>
      </w:r>
      <w:r w:rsidRPr="003D6B19">
        <w:rPr>
          <w:i/>
          <w:lang w:val="id-ID"/>
        </w:rPr>
        <w:t>Effect of.....</w:t>
      </w:r>
      <w:r w:rsidRPr="003D6B19">
        <w:rPr>
          <w:lang w:val="id-ID"/>
        </w:rPr>
        <w:t>",</w:t>
      </w:r>
      <w:r w:rsidRPr="003D6B19">
        <w:t xml:space="preserve"> “</w:t>
      </w:r>
      <w:r w:rsidRPr="003D6B19">
        <w:rPr>
          <w:i/>
        </w:rPr>
        <w:t>Analysis of …</w:t>
      </w:r>
      <w:r w:rsidRPr="003D6B19">
        <w:t>”, “Design of…”</w:t>
      </w:r>
      <w:r>
        <w:t>,</w:t>
      </w:r>
      <w:r w:rsidRPr="003D6B19">
        <w:rPr>
          <w:lang w:val="id-ID"/>
        </w:rPr>
        <w:t xml:space="preserve"> etc. </w:t>
      </w:r>
    </w:p>
    <w:p w14:paraId="1B93A322" w14:textId="1C729E09" w:rsidR="006E1F55" w:rsidRDefault="006E1F55" w:rsidP="006E1F55">
      <w:pPr>
        <w:ind w:firstLine="720"/>
        <w:jc w:val="both"/>
      </w:pPr>
      <w:r w:rsidRPr="00272BB5">
        <w:rPr>
          <w:lang w:val="id-ID"/>
        </w:rPr>
        <w:t>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w:t>
      </w:r>
      <w:r>
        <w:t xml:space="preserve"> </w:t>
      </w:r>
    </w:p>
    <w:p w14:paraId="09E60C6C" w14:textId="77777777" w:rsidR="006E1F55" w:rsidRPr="003D6B19" w:rsidRDefault="006E1F55" w:rsidP="006E1F55">
      <w:pPr>
        <w:ind w:firstLine="720"/>
        <w:jc w:val="both"/>
        <w:rPr>
          <w:lang w:val="id-ID"/>
        </w:rPr>
      </w:pPr>
      <w:r w:rsidRPr="003D6B19">
        <w:rPr>
          <w:lang w:val="id-ID"/>
        </w:rPr>
        <w:t>Indexing and abstracting services depend on the accuracy of the title, extracting from it keywords useful in cross-referencing and computer searching. An improperly titled paper may never reach the audience for which it was intended, so be specific.</w:t>
      </w:r>
    </w:p>
    <w:p w14:paraId="59774022" w14:textId="374CC590" w:rsidR="006E1F55" w:rsidRPr="003D6B19" w:rsidRDefault="006E1F55" w:rsidP="006E1F55">
      <w:pPr>
        <w:ind w:firstLine="720"/>
        <w:jc w:val="both"/>
      </w:pPr>
      <w:r w:rsidRPr="003D6B19">
        <w:rPr>
          <w:lang w:val="id-ID"/>
        </w:rPr>
        <w:lastRenderedPageBreak/>
        <w:t xml:space="preserve">The Introduction </w:t>
      </w:r>
      <w:r w:rsidRPr="003D6B19">
        <w:rPr>
          <w:lang w:val="en-ID"/>
        </w:rPr>
        <w:t xml:space="preserve">section </w:t>
      </w:r>
      <w:r w:rsidRPr="003D6B19">
        <w:rPr>
          <w:lang w:val="id-ID"/>
        </w:rPr>
        <w:t>should provide</w:t>
      </w:r>
      <w:r w:rsidRPr="003D6B19">
        <w:rPr>
          <w:lang w:val="en-ID"/>
        </w:rPr>
        <w:t xml:space="preserve">: </w:t>
      </w:r>
      <w:proofErr w:type="spellStart"/>
      <w:r w:rsidRPr="003D6B19">
        <w:rPr>
          <w:lang w:val="en-ID"/>
        </w:rPr>
        <w:t>i</w:t>
      </w:r>
      <w:proofErr w:type="spellEnd"/>
      <w:r w:rsidRPr="003D6B19">
        <w:rPr>
          <w:lang w:val="en-ID"/>
        </w:rPr>
        <w:t>)</w:t>
      </w:r>
      <w:r w:rsidRPr="003D6B19">
        <w:rPr>
          <w:lang w:val="id-ID"/>
        </w:rPr>
        <w:t xml:space="preserve"> a </w:t>
      </w:r>
      <w:proofErr w:type="spellStart"/>
      <w:r w:rsidRPr="003D6B19">
        <w:rPr>
          <w:lang w:val="id-ID"/>
        </w:rPr>
        <w:t>clear</w:t>
      </w:r>
      <w:proofErr w:type="spellEnd"/>
      <w:r w:rsidRPr="003D6B19">
        <w:rPr>
          <w:lang w:val="id-ID"/>
        </w:rPr>
        <w:t xml:space="preserve"> </w:t>
      </w:r>
      <w:proofErr w:type="spellStart"/>
      <w:r w:rsidRPr="003D6B19">
        <w:rPr>
          <w:lang w:val="id-ID"/>
        </w:rPr>
        <w:t>background</w:t>
      </w:r>
      <w:proofErr w:type="spellEnd"/>
      <w:r w:rsidRPr="003D6B19">
        <w:rPr>
          <w:lang w:val="id-ID"/>
        </w:rPr>
        <w:t xml:space="preserve">, </w:t>
      </w:r>
      <w:r w:rsidRPr="003D6B19">
        <w:rPr>
          <w:lang w:val="en-ID"/>
        </w:rPr>
        <w:t xml:space="preserve">ii) </w:t>
      </w:r>
      <w:r w:rsidRPr="003D6B19">
        <w:rPr>
          <w:lang w:val="id-ID"/>
        </w:rPr>
        <w:t xml:space="preserve">a </w:t>
      </w:r>
      <w:proofErr w:type="spellStart"/>
      <w:r w:rsidRPr="003D6B19">
        <w:rPr>
          <w:lang w:val="id-ID"/>
        </w:rPr>
        <w:t>clear</w:t>
      </w:r>
      <w:proofErr w:type="spellEnd"/>
      <w:r w:rsidRPr="003D6B19">
        <w:rPr>
          <w:lang w:val="id-ID"/>
        </w:rPr>
        <w:t xml:space="preserve"> </w:t>
      </w:r>
      <w:proofErr w:type="spellStart"/>
      <w:r w:rsidRPr="003D6B19">
        <w:rPr>
          <w:lang w:val="id-ID"/>
        </w:rPr>
        <w:t>statement</w:t>
      </w:r>
      <w:proofErr w:type="spellEnd"/>
      <w:r w:rsidRPr="003D6B19">
        <w:rPr>
          <w:lang w:val="id-ID"/>
        </w:rPr>
        <w:t xml:space="preserve"> </w:t>
      </w:r>
      <w:proofErr w:type="spellStart"/>
      <w:r w:rsidRPr="003D6B19">
        <w:rPr>
          <w:lang w:val="id-ID"/>
        </w:rPr>
        <w:t>of</w:t>
      </w:r>
      <w:proofErr w:type="spellEnd"/>
      <w:r w:rsidRPr="003D6B19">
        <w:rPr>
          <w:lang w:val="id-ID"/>
        </w:rPr>
        <w:t xml:space="preserve"> </w:t>
      </w:r>
      <w:proofErr w:type="spellStart"/>
      <w:r w:rsidRPr="003D6B19">
        <w:rPr>
          <w:lang w:val="id-ID"/>
        </w:rPr>
        <w:t>the</w:t>
      </w:r>
      <w:proofErr w:type="spellEnd"/>
      <w:r w:rsidRPr="003D6B19">
        <w:rPr>
          <w:lang w:val="id-ID"/>
        </w:rPr>
        <w:t xml:space="preserve"> problem, </w:t>
      </w:r>
      <w:r w:rsidRPr="003D6B19">
        <w:rPr>
          <w:lang w:val="en-ID"/>
        </w:rPr>
        <w:t xml:space="preserve">iii) </w:t>
      </w:r>
      <w:proofErr w:type="spellStart"/>
      <w:r w:rsidRPr="003D6B19">
        <w:rPr>
          <w:lang w:val="id-ID"/>
        </w:rPr>
        <w:t>the</w:t>
      </w:r>
      <w:proofErr w:type="spellEnd"/>
      <w:r w:rsidRPr="003D6B19">
        <w:rPr>
          <w:lang w:val="id-ID"/>
        </w:rPr>
        <w:t xml:space="preserve"> </w:t>
      </w:r>
      <w:proofErr w:type="spellStart"/>
      <w:r w:rsidRPr="003D6B19">
        <w:rPr>
          <w:lang w:val="id-ID"/>
        </w:rPr>
        <w:t>relevant</w:t>
      </w:r>
      <w:proofErr w:type="spellEnd"/>
      <w:r w:rsidRPr="003D6B19">
        <w:rPr>
          <w:lang w:val="id-ID"/>
        </w:rPr>
        <w:t xml:space="preserve"> </w:t>
      </w:r>
      <w:proofErr w:type="spellStart"/>
      <w:r w:rsidRPr="003D6B19">
        <w:rPr>
          <w:lang w:val="id-ID"/>
        </w:rPr>
        <w:t>literature</w:t>
      </w:r>
      <w:proofErr w:type="spellEnd"/>
      <w:r w:rsidRPr="003D6B19">
        <w:rPr>
          <w:lang w:val="id-ID"/>
        </w:rPr>
        <w:t xml:space="preserve"> </w:t>
      </w:r>
      <w:proofErr w:type="spellStart"/>
      <w:r w:rsidRPr="003D6B19">
        <w:rPr>
          <w:lang w:val="id-ID"/>
        </w:rPr>
        <w:t>on</w:t>
      </w:r>
      <w:proofErr w:type="spellEnd"/>
      <w:r w:rsidRPr="003D6B19">
        <w:rPr>
          <w:lang w:val="id-ID"/>
        </w:rPr>
        <w:t xml:space="preserve"> </w:t>
      </w:r>
      <w:proofErr w:type="spellStart"/>
      <w:r w:rsidRPr="003D6B19">
        <w:rPr>
          <w:lang w:val="id-ID"/>
        </w:rPr>
        <w:t>the</w:t>
      </w:r>
      <w:proofErr w:type="spellEnd"/>
      <w:r w:rsidRPr="003D6B19">
        <w:rPr>
          <w:lang w:val="id-ID"/>
        </w:rPr>
        <w:t xml:space="preserve"> </w:t>
      </w:r>
      <w:proofErr w:type="spellStart"/>
      <w:r w:rsidRPr="003D6B19">
        <w:rPr>
          <w:lang w:val="id-ID"/>
        </w:rPr>
        <w:t>subject</w:t>
      </w:r>
      <w:proofErr w:type="spellEnd"/>
      <w:r w:rsidRPr="003D6B19">
        <w:rPr>
          <w:lang w:val="id-ID"/>
        </w:rPr>
        <w:t xml:space="preserve">, </w:t>
      </w:r>
      <w:r w:rsidRPr="003D6B19">
        <w:rPr>
          <w:lang w:val="en-ID"/>
        </w:rPr>
        <w:t xml:space="preserve">iv) </w:t>
      </w:r>
      <w:proofErr w:type="spellStart"/>
      <w:r w:rsidRPr="003D6B19">
        <w:rPr>
          <w:lang w:val="id-ID"/>
        </w:rPr>
        <w:t>the</w:t>
      </w:r>
      <w:proofErr w:type="spellEnd"/>
      <w:r w:rsidRPr="003D6B19">
        <w:rPr>
          <w:lang w:val="id-ID"/>
        </w:rPr>
        <w:t xml:space="preserve"> </w:t>
      </w:r>
      <w:proofErr w:type="spellStart"/>
      <w:r w:rsidRPr="003D6B19">
        <w:rPr>
          <w:lang w:val="id-ID"/>
        </w:rPr>
        <w:t>proposed</w:t>
      </w:r>
      <w:proofErr w:type="spellEnd"/>
      <w:r w:rsidRPr="003D6B19">
        <w:rPr>
          <w:lang w:val="id-ID"/>
        </w:rPr>
        <w:t xml:space="preserve"> </w:t>
      </w:r>
      <w:proofErr w:type="spellStart"/>
      <w:r w:rsidRPr="003D6B19">
        <w:rPr>
          <w:lang w:val="id-ID"/>
        </w:rPr>
        <w:t>approach</w:t>
      </w:r>
      <w:proofErr w:type="spellEnd"/>
      <w:r w:rsidRPr="003D6B19">
        <w:rPr>
          <w:lang w:val="id-ID"/>
        </w:rPr>
        <w:t xml:space="preserve"> </w:t>
      </w:r>
      <w:proofErr w:type="spellStart"/>
      <w:r w:rsidRPr="003D6B19">
        <w:rPr>
          <w:lang w:val="id-ID"/>
        </w:rPr>
        <w:t>or</w:t>
      </w:r>
      <w:proofErr w:type="spellEnd"/>
      <w:r w:rsidRPr="003D6B19">
        <w:rPr>
          <w:lang w:val="id-ID"/>
        </w:rPr>
        <w:t xml:space="preserve"> </w:t>
      </w:r>
      <w:proofErr w:type="spellStart"/>
      <w:r w:rsidRPr="003D6B19">
        <w:rPr>
          <w:lang w:val="id-ID"/>
        </w:rPr>
        <w:t>solution</w:t>
      </w:r>
      <w:proofErr w:type="spellEnd"/>
      <w:r w:rsidRPr="003D6B19">
        <w:rPr>
          <w:lang w:val="id-ID"/>
        </w:rPr>
        <w:t xml:space="preserve">, </w:t>
      </w:r>
      <w:proofErr w:type="spellStart"/>
      <w:r w:rsidRPr="003D6B19">
        <w:rPr>
          <w:lang w:val="id-ID"/>
        </w:rPr>
        <w:t>and</w:t>
      </w:r>
      <w:proofErr w:type="spellEnd"/>
      <w:r w:rsidRPr="003D6B19">
        <w:rPr>
          <w:lang w:val="id-ID"/>
        </w:rPr>
        <w:t xml:space="preserve"> </w:t>
      </w:r>
      <w:r w:rsidRPr="003D6B19">
        <w:rPr>
          <w:lang w:val="en-ID"/>
        </w:rPr>
        <w:t xml:space="preserve">v) </w:t>
      </w:r>
      <w:proofErr w:type="spellStart"/>
      <w:r w:rsidRPr="003D6B19">
        <w:rPr>
          <w:lang w:val="id-ID"/>
        </w:rPr>
        <w:t>the</w:t>
      </w:r>
      <w:proofErr w:type="spellEnd"/>
      <w:r w:rsidRPr="003D6B19">
        <w:rPr>
          <w:lang w:val="id-ID"/>
        </w:rPr>
        <w:t xml:space="preserve"> </w:t>
      </w:r>
      <w:proofErr w:type="spellStart"/>
      <w:r w:rsidRPr="003D6B19">
        <w:rPr>
          <w:lang w:val="id-ID"/>
        </w:rPr>
        <w:t>new</w:t>
      </w:r>
      <w:proofErr w:type="spellEnd"/>
      <w:r w:rsidRPr="003D6B19">
        <w:rPr>
          <w:lang w:val="id-ID"/>
        </w:rPr>
        <w:t xml:space="preserve"> </w:t>
      </w:r>
      <w:proofErr w:type="spellStart"/>
      <w:r w:rsidRPr="003D6B19">
        <w:rPr>
          <w:lang w:val="id-ID"/>
        </w:rPr>
        <w:t>value</w:t>
      </w:r>
      <w:proofErr w:type="spellEnd"/>
      <w:r w:rsidRPr="003D6B19">
        <w:rPr>
          <w:lang w:val="id-ID"/>
        </w:rPr>
        <w:t xml:space="preserve"> </w:t>
      </w:r>
      <w:proofErr w:type="spellStart"/>
      <w:r w:rsidRPr="003D6B19">
        <w:rPr>
          <w:lang w:val="id-ID"/>
        </w:rPr>
        <w:t>of</w:t>
      </w:r>
      <w:proofErr w:type="spellEnd"/>
      <w:r w:rsidRPr="003D6B19">
        <w:rPr>
          <w:lang w:val="id-ID"/>
        </w:rPr>
        <w:t xml:space="preserve"> </w:t>
      </w:r>
      <w:proofErr w:type="spellStart"/>
      <w:r w:rsidRPr="003D6B19">
        <w:rPr>
          <w:lang w:val="id-ID"/>
        </w:rPr>
        <w:t>research</w:t>
      </w:r>
      <w:proofErr w:type="spellEnd"/>
      <w:r w:rsidRPr="003D6B19">
        <w:rPr>
          <w:lang w:val="id-ID"/>
        </w:rPr>
        <w:t xml:space="preserve"> </w:t>
      </w:r>
      <w:proofErr w:type="spellStart"/>
      <w:r w:rsidRPr="003D6B19">
        <w:rPr>
          <w:lang w:val="id-ID"/>
        </w:rPr>
        <w:t>which</w:t>
      </w:r>
      <w:proofErr w:type="spellEnd"/>
      <w:r w:rsidRPr="003D6B19">
        <w:rPr>
          <w:lang w:val="id-ID"/>
        </w:rPr>
        <w:t xml:space="preserve"> </w:t>
      </w:r>
      <w:proofErr w:type="spellStart"/>
      <w:r w:rsidRPr="003D6B19">
        <w:rPr>
          <w:lang w:val="id-ID"/>
        </w:rPr>
        <w:t>it</w:t>
      </w:r>
      <w:proofErr w:type="spellEnd"/>
      <w:r w:rsidRPr="003D6B19">
        <w:rPr>
          <w:lang w:val="id-ID"/>
        </w:rPr>
        <w:t xml:space="preserve"> </w:t>
      </w:r>
      <w:proofErr w:type="spellStart"/>
      <w:r w:rsidRPr="003D6B19">
        <w:rPr>
          <w:lang w:val="id-ID"/>
        </w:rPr>
        <w:t>is</w:t>
      </w:r>
      <w:proofErr w:type="spellEnd"/>
      <w:r w:rsidRPr="003D6B19">
        <w:rPr>
          <w:lang w:val="id-ID"/>
        </w:rPr>
        <w:t xml:space="preserve"> </w:t>
      </w:r>
      <w:proofErr w:type="spellStart"/>
      <w:r w:rsidRPr="003D6B19">
        <w:rPr>
          <w:lang w:val="id-ID"/>
        </w:rPr>
        <w:t>innovation</w:t>
      </w:r>
      <w:proofErr w:type="spellEnd"/>
      <w:r w:rsidRPr="003D6B19">
        <w:rPr>
          <w:lang w:val="en-ID"/>
        </w:rPr>
        <w:t xml:space="preserve"> (within 3-6 paragraphs)</w:t>
      </w:r>
      <w:r w:rsidRPr="003D6B19">
        <w:rPr>
          <w:lang w:val="id-ID"/>
        </w:rPr>
        <w:t>. It should be understandable to colleagues from a broad range of scientific disciplines. Organization and citation of the bibliography are made in</w:t>
      </w:r>
      <w:r w:rsidRPr="003D6B19">
        <w:t xml:space="preserve"> </w:t>
      </w:r>
      <w:r w:rsidRPr="003D6B19">
        <w:rPr>
          <w:lang w:val="id-ID"/>
        </w:rPr>
        <w:t>Institute of Electrical and Electronics Engineers</w:t>
      </w:r>
      <w:r w:rsidRPr="003D6B19">
        <w:t xml:space="preserve"> (IEEE)</w:t>
      </w:r>
      <w:r w:rsidRPr="003D6B19">
        <w:rPr>
          <w:lang w:val="id-ID"/>
        </w:rPr>
        <w:t xml:space="preserve"> style in sign </w:t>
      </w:r>
      <w:r>
        <w:rPr>
          <w:lang w:val="id-ID"/>
        </w:rPr>
        <w:fldChar w:fldCharType="begin" w:fldLock="1"/>
      </w:r>
      <w:r>
        <w:rPr>
          <w:lang w:val="id-ID"/>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Pr>
          <w:lang w:val="id-ID"/>
        </w:rPr>
        <w:fldChar w:fldCharType="separate"/>
      </w:r>
      <w:r w:rsidRPr="0034191F">
        <w:rPr>
          <w:noProof/>
          <w:lang w:val="id-ID"/>
        </w:rPr>
        <w:t>[1]</w:t>
      </w:r>
      <w:r>
        <w:rPr>
          <w:lang w:val="id-ID"/>
        </w:rPr>
        <w:fldChar w:fldCharType="end"/>
      </w:r>
      <w:r w:rsidRPr="00C06F2A">
        <w:rPr>
          <w:lang w:val="id-ID"/>
        </w:rPr>
        <w:t xml:space="preserve">, </w:t>
      </w:r>
      <w:r>
        <w:rPr>
          <w:lang w:val="id-ID"/>
        </w:rPr>
        <w:fldChar w:fldCharType="begin" w:fldLock="1"/>
      </w:r>
      <w:r>
        <w:rPr>
          <w:lang w:val="id-ID"/>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Pr>
          <w:lang w:val="id-ID"/>
        </w:rPr>
        <w:fldChar w:fldCharType="separate"/>
      </w:r>
      <w:r w:rsidRPr="0034191F">
        <w:rPr>
          <w:noProof/>
          <w:lang w:val="id-ID"/>
        </w:rPr>
        <w:t>[2]</w:t>
      </w:r>
      <w:r>
        <w:rPr>
          <w:lang w:val="id-ID"/>
        </w:rPr>
        <w:fldChar w:fldCharType="end"/>
      </w:r>
      <w:r w:rsidRPr="003D6B19">
        <w:rPr>
          <w:lang w:val="id-ID"/>
        </w:rPr>
        <w:t xml:space="preserve"> and so on. The terms in foreign languages are written italic (</w:t>
      </w:r>
      <w:r w:rsidRPr="003D6B19">
        <w:rPr>
          <w:i/>
          <w:iCs/>
          <w:lang w:val="id-ID"/>
        </w:rPr>
        <w:t>italic</w:t>
      </w:r>
      <w:r w:rsidRPr="003D6B19">
        <w:rPr>
          <w:lang w:val="id-ID"/>
        </w:rPr>
        <w:t xml:space="preserve">). </w:t>
      </w:r>
      <w:r w:rsidRPr="003D6B19">
        <w:t>The text should be divided into sections, each with a separate heading and numbered consecutively</w:t>
      </w:r>
      <w:r>
        <w:t xml:space="preserve"> </w:t>
      </w:r>
      <w:r>
        <w:fldChar w:fldCharType="begin" w:fldLock="1"/>
      </w:r>
      <w: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fldChar w:fldCharType="separate"/>
      </w:r>
      <w:r w:rsidRPr="0034191F">
        <w:rPr>
          <w:noProof/>
        </w:rPr>
        <w:t>[3]</w:t>
      </w:r>
      <w:r>
        <w:fldChar w:fldCharType="end"/>
      </w:r>
      <w:r w:rsidRPr="003D6B19">
        <w:t xml:space="preserve">. The section or subsection headings should be typed on a separate line, e.g., 1. INTRODUCTION. </w:t>
      </w:r>
    </w:p>
    <w:p w14:paraId="4EE43B55" w14:textId="2B2EF826" w:rsidR="006E1F55" w:rsidRPr="003D6B19" w:rsidRDefault="006E1F55" w:rsidP="006E1F55">
      <w:pPr>
        <w:ind w:firstLine="720"/>
        <w:jc w:val="both"/>
        <w:rPr>
          <w:spacing w:val="-2"/>
          <w:lang w:val="id-ID"/>
        </w:rPr>
      </w:pPr>
      <w:bookmarkStart w:id="3" w:name="_Hlk80000697"/>
      <w:r w:rsidRPr="003D6B19">
        <w:rPr>
          <w:spacing w:val="-2"/>
          <w:lang w:val="id-ID"/>
        </w:rPr>
        <w:t xml:space="preserve">Literature review that has been done author used in the section "INTRODUCTION" to explain </w:t>
      </w:r>
      <w:r w:rsidRPr="003D6B19">
        <w:rPr>
          <w:spacing w:val="-2"/>
          <w:lang w:val="id-ID"/>
        </w:rPr>
        <w:br/>
        <w:t xml:space="preserve">the difference of the manuscript with other papers, that it is innovative, it are used in the section "METHOD" to describe the step of research and used in the section "RESULTS AND DISCUSSION" to support the analysis of the results </w:t>
      </w:r>
      <w:r>
        <w:rPr>
          <w:lang w:val="id-ID"/>
        </w:rPr>
        <w:fldChar w:fldCharType="begin" w:fldLock="1"/>
      </w:r>
      <w:r>
        <w:rPr>
          <w:lang w:val="id-ID"/>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Pr>
          <w:lang w:val="id-ID"/>
        </w:rPr>
        <w:fldChar w:fldCharType="separate"/>
      </w:r>
      <w:r w:rsidRPr="0034191F">
        <w:rPr>
          <w:noProof/>
          <w:lang w:val="id-ID"/>
        </w:rPr>
        <w:t>[2]</w:t>
      </w:r>
      <w:r>
        <w:rPr>
          <w:lang w:val="id-ID"/>
        </w:rPr>
        <w:fldChar w:fldCharType="end"/>
      </w:r>
      <w:r w:rsidRPr="003D6B19">
        <w:rPr>
          <w:spacing w:val="-2"/>
          <w:lang w:val="id-ID"/>
        </w:rPr>
        <w:t xml:space="preserve">. If the manuscript was written really have high originality, which proposed a new method or algorithm, the additional section after the "INTRODUCTION" section and before the "METHOD" section can be added to explain briefly </w:t>
      </w:r>
      <w:r w:rsidRPr="003D6B19">
        <w:rPr>
          <w:spacing w:val="-2"/>
        </w:rPr>
        <w:t xml:space="preserve">the theory and/or </w:t>
      </w:r>
      <w:r w:rsidRPr="003D6B19">
        <w:rPr>
          <w:spacing w:val="-2"/>
          <w:lang w:val="id-ID"/>
        </w:rPr>
        <w:t>the proposed method</w:t>
      </w:r>
      <w:r w:rsidRPr="003D6B19">
        <w:rPr>
          <w:spacing w:val="-2"/>
        </w:rPr>
        <w:t>/</w:t>
      </w:r>
      <w:r w:rsidRPr="003D6B19">
        <w:rPr>
          <w:spacing w:val="-2"/>
          <w:lang w:val="id-ID"/>
        </w:rPr>
        <w:t xml:space="preserve">algorithm </w:t>
      </w:r>
      <w:r>
        <w:rPr>
          <w:spacing w:val="-2"/>
          <w:lang w:val="id-ID"/>
        </w:rPr>
        <w:fldChar w:fldCharType="begin" w:fldLock="1"/>
      </w:r>
      <w:r>
        <w:rPr>
          <w:spacing w:val="-2"/>
          <w:lang w:val="id-ID"/>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Pr>
          <w:spacing w:val="-2"/>
          <w:lang w:val="id-ID"/>
        </w:rPr>
        <w:fldChar w:fldCharType="separate"/>
      </w:r>
      <w:r w:rsidRPr="00DA6C9D">
        <w:rPr>
          <w:noProof/>
          <w:spacing w:val="-2"/>
          <w:lang w:val="id-ID"/>
        </w:rPr>
        <w:t>[4]</w:t>
      </w:r>
      <w:r>
        <w:rPr>
          <w:spacing w:val="-2"/>
          <w:lang w:val="id-ID"/>
        </w:rPr>
        <w:fldChar w:fldCharType="end"/>
      </w:r>
      <w:r w:rsidRPr="003D6B19">
        <w:rPr>
          <w:spacing w:val="-2"/>
          <w:lang w:val="id-ID"/>
        </w:rPr>
        <w:t>.</w:t>
      </w:r>
      <w:bookmarkEnd w:id="2"/>
    </w:p>
    <w:bookmarkEnd w:id="3"/>
    <w:p w14:paraId="01B08C88" w14:textId="0F64EB2E" w:rsidR="00E619D6" w:rsidRPr="003D6B19" w:rsidRDefault="00E619D6" w:rsidP="00DD2BCF">
      <w:pPr>
        <w:ind w:firstLine="720"/>
        <w:jc w:val="both"/>
      </w:pPr>
    </w:p>
    <w:p w14:paraId="6D0BF8E6" w14:textId="77777777" w:rsidR="00E619D6" w:rsidRPr="003D6B19" w:rsidRDefault="00E619D6" w:rsidP="00E619D6">
      <w:pPr>
        <w:jc w:val="both"/>
      </w:pPr>
    </w:p>
    <w:p w14:paraId="7F5871EF" w14:textId="43F291F6" w:rsidR="00E619D6" w:rsidRPr="003D6B19" w:rsidRDefault="00E619D6" w:rsidP="00E619D6">
      <w:pPr>
        <w:numPr>
          <w:ilvl w:val="0"/>
          <w:numId w:val="15"/>
        </w:numPr>
        <w:tabs>
          <w:tab w:val="left" w:pos="426"/>
        </w:tabs>
        <w:ind w:left="426" w:hanging="426"/>
        <w:rPr>
          <w:b/>
          <w:bCs/>
          <w:lang w:val="id-ID"/>
        </w:rPr>
      </w:pPr>
      <w:r w:rsidRPr="003D6B19">
        <w:rPr>
          <w:b/>
          <w:bCs/>
          <w:lang w:val="id-ID"/>
        </w:rPr>
        <w:t>METHOD</w:t>
      </w:r>
      <w:r w:rsidRPr="003D6B19">
        <w:rPr>
          <w:b/>
          <w:bCs/>
        </w:rPr>
        <w:t xml:space="preserve"> (10 PT)</w:t>
      </w:r>
    </w:p>
    <w:p w14:paraId="15BBE056" w14:textId="78FE993B" w:rsidR="00DD2BCF" w:rsidRPr="0034191F" w:rsidRDefault="00354A58" w:rsidP="00DD2BCF">
      <w:pPr>
        <w:ind w:firstLine="720"/>
        <w:jc w:val="both"/>
      </w:pPr>
      <w:bookmarkStart w:id="4" w:name="_Hlk78354310"/>
      <w:r w:rsidRPr="003D6B19">
        <w:rPr>
          <w:lang w:val="id-ID"/>
        </w:rPr>
        <w:t xml:space="preserve">Explaining research chronological, including research design, research procedure (in the form of algorithms, Pseudocode or other), how to test and data </w:t>
      </w:r>
      <w:bookmarkStart w:id="5" w:name="_Hlk78354375"/>
      <w:r w:rsidR="003E23A5" w:rsidRPr="00763C7D">
        <w:rPr>
          <w:lang w:val="id-ID"/>
        </w:rPr>
        <w:t>acquisition</w:t>
      </w:r>
      <w:r w:rsidR="003E23A5" w:rsidRPr="00763C7D">
        <w:t xml:space="preserve"> </w:t>
      </w:r>
      <w:r w:rsidR="00DD2BCF">
        <w:rPr>
          <w:lang w:val="id-ID"/>
        </w:rPr>
        <w:fldChar w:fldCharType="begin" w:fldLock="1"/>
      </w:r>
      <w:r w:rsidR="00DD2BCF">
        <w:rPr>
          <w:lang w:val="id-ID"/>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Pr>
          <w:lang w:val="id-ID"/>
        </w:rPr>
        <w:fldChar w:fldCharType="separate"/>
      </w:r>
      <w:r w:rsidR="00DD2BCF" w:rsidRPr="00DA6C9D">
        <w:rPr>
          <w:noProof/>
          <w:lang w:val="id-ID"/>
        </w:rPr>
        <w:t>[5]–[7]</w:t>
      </w:r>
      <w:r w:rsidR="00DD2BCF">
        <w:rPr>
          <w:lang w:val="id-ID"/>
        </w:rPr>
        <w:fldChar w:fldCharType="end"/>
      </w:r>
      <w:r w:rsidR="00DD2BCF" w:rsidRPr="00C06F2A">
        <w:rPr>
          <w:lang w:val="id-ID"/>
        </w:rPr>
        <w:t xml:space="preserve">. The description of the course of research should be supported references, so the explanation can be accepted scientifically </w:t>
      </w:r>
      <w:r w:rsidR="00DD2BCF">
        <w:rPr>
          <w:lang w:val="id-ID"/>
        </w:rPr>
        <w:fldChar w:fldCharType="begin" w:fldLock="1"/>
      </w:r>
      <w:r w:rsidR="00DD2BCF">
        <w:rPr>
          <w:lang w:val="id-ID"/>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Pr>
          <w:lang w:val="id-ID"/>
        </w:rPr>
        <w:fldChar w:fldCharType="separate"/>
      </w:r>
      <w:r w:rsidR="00DD2BCF" w:rsidRPr="00DA6C9D">
        <w:rPr>
          <w:noProof/>
          <w:lang w:val="id-ID"/>
        </w:rPr>
        <w:t>[2]</w:t>
      </w:r>
      <w:r w:rsidR="00DD2BCF">
        <w:rPr>
          <w:lang w:val="id-ID"/>
        </w:rPr>
        <w:fldChar w:fldCharType="end"/>
      </w:r>
      <w:r w:rsidR="00DD2BCF" w:rsidRPr="00C06F2A">
        <w:rPr>
          <w:lang w:val="id-ID"/>
        </w:rPr>
        <w:t xml:space="preserve">, </w:t>
      </w:r>
      <w:r w:rsidR="00DD2BCF">
        <w:rPr>
          <w:lang w:val="id-ID"/>
        </w:rPr>
        <w:fldChar w:fldCharType="begin" w:fldLock="1"/>
      </w:r>
      <w:r w:rsidR="00DD2BCF">
        <w:rPr>
          <w:lang w:val="id-ID"/>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Pr>
          <w:lang w:val="id-ID"/>
        </w:rPr>
        <w:fldChar w:fldCharType="separate"/>
      </w:r>
      <w:r w:rsidR="00DD2BCF" w:rsidRPr="00DA6C9D">
        <w:rPr>
          <w:noProof/>
          <w:lang w:val="id-ID"/>
        </w:rPr>
        <w:t>[4]</w:t>
      </w:r>
      <w:r w:rsidR="00DD2BCF">
        <w:rPr>
          <w:lang w:val="id-ID"/>
        </w:rPr>
        <w:fldChar w:fldCharType="end"/>
      </w:r>
      <w:r w:rsidR="00DD2BCF" w:rsidRPr="00C06F2A">
        <w:rPr>
          <w:lang w:val="id-ID"/>
        </w:rPr>
        <w:t xml:space="preserve">. </w:t>
      </w:r>
      <w:proofErr w:type="spellStart"/>
      <w:r w:rsidR="00DD2BCF" w:rsidRPr="00C06F2A">
        <w:rPr>
          <w:lang w:val="id-ID"/>
        </w:rPr>
        <w:t>Figures</w:t>
      </w:r>
      <w:proofErr w:type="spellEnd"/>
      <w:r w:rsidR="00DD2BCF" w:rsidRPr="00C06F2A">
        <w:rPr>
          <w:lang w:val="id-ID"/>
        </w:rPr>
        <w:t xml:space="preserve"> </w:t>
      </w:r>
      <w:r w:rsidR="009D52E7">
        <w:t>1</w:t>
      </w:r>
      <w:r w:rsidR="00DD2BCF" w:rsidRPr="00C06F2A">
        <w:rPr>
          <w:lang w:val="id-ID"/>
        </w:rPr>
        <w:t xml:space="preserve"> </w:t>
      </w:r>
      <w:proofErr w:type="spellStart"/>
      <w:r w:rsidR="00DD2BCF" w:rsidRPr="00C06F2A">
        <w:rPr>
          <w:lang w:val="id-ID"/>
        </w:rPr>
        <w:t>and</w:t>
      </w:r>
      <w:proofErr w:type="spellEnd"/>
      <w:r w:rsidR="00DD2BCF" w:rsidRPr="00C06F2A">
        <w:rPr>
          <w:lang w:val="id-ID"/>
        </w:rPr>
        <w:t xml:space="preserve"> </w:t>
      </w:r>
      <w:proofErr w:type="spellStart"/>
      <w:r w:rsidR="00DD2BCF" w:rsidRPr="00C06F2A">
        <w:rPr>
          <w:lang w:val="id-ID"/>
        </w:rPr>
        <w:t>Table</w:t>
      </w:r>
      <w:proofErr w:type="spellEnd"/>
      <w:r w:rsidR="00DD2BCF" w:rsidRPr="00C06F2A">
        <w:rPr>
          <w:lang w:val="id-ID"/>
        </w:rPr>
        <w:t xml:space="preserve"> 1 are </w:t>
      </w:r>
      <w:proofErr w:type="spellStart"/>
      <w:r w:rsidR="00DD2BCF" w:rsidRPr="00C06F2A">
        <w:rPr>
          <w:lang w:val="id-ID"/>
        </w:rPr>
        <w:t>presented</w:t>
      </w:r>
      <w:proofErr w:type="spellEnd"/>
      <w:r w:rsidR="00DD2BCF" w:rsidRPr="00C06F2A">
        <w:rPr>
          <w:lang w:val="id-ID"/>
        </w:rPr>
        <w:t xml:space="preserve"> </w:t>
      </w:r>
      <w:proofErr w:type="spellStart"/>
      <w:r w:rsidR="00DD2BCF" w:rsidRPr="00C06F2A">
        <w:rPr>
          <w:lang w:val="id-ID"/>
        </w:rPr>
        <w:t>center</w:t>
      </w:r>
      <w:proofErr w:type="spellEnd"/>
      <w:r w:rsidR="00DD2BCF" w:rsidRPr="00C06F2A">
        <w:rPr>
          <w:lang w:val="id-ID"/>
        </w:rPr>
        <w:t xml:space="preserve">, as </w:t>
      </w:r>
      <w:proofErr w:type="spellStart"/>
      <w:r w:rsidR="00DD2BCF" w:rsidRPr="00C06F2A">
        <w:rPr>
          <w:lang w:val="id-ID"/>
        </w:rPr>
        <w:t>shown</w:t>
      </w:r>
      <w:proofErr w:type="spellEnd"/>
      <w:r w:rsidR="00DD2BCF" w:rsidRPr="00C06F2A">
        <w:rPr>
          <w:lang w:val="id-ID"/>
        </w:rPr>
        <w:t xml:space="preserve"> </w:t>
      </w:r>
      <w:proofErr w:type="spellStart"/>
      <w:r w:rsidR="00DD2BCF" w:rsidRPr="00C06F2A">
        <w:rPr>
          <w:lang w:val="id-ID"/>
        </w:rPr>
        <w:t>below</w:t>
      </w:r>
      <w:proofErr w:type="spellEnd"/>
      <w:r w:rsidR="00DD2BCF" w:rsidRPr="00C06F2A">
        <w:rPr>
          <w:lang w:val="id-ID"/>
        </w:rPr>
        <w:t xml:space="preserve"> </w:t>
      </w:r>
      <w:proofErr w:type="spellStart"/>
      <w:r w:rsidR="00DD2BCF" w:rsidRPr="00C06F2A">
        <w:rPr>
          <w:lang w:val="id-ID"/>
        </w:rPr>
        <w:t>and</w:t>
      </w:r>
      <w:proofErr w:type="spellEnd"/>
      <w:r w:rsidR="00DD2BCF" w:rsidRPr="00C06F2A">
        <w:rPr>
          <w:lang w:val="id-ID"/>
        </w:rPr>
        <w:t xml:space="preserve"> </w:t>
      </w:r>
      <w:proofErr w:type="spellStart"/>
      <w:r w:rsidR="00DD2BCF" w:rsidRPr="00C06F2A">
        <w:rPr>
          <w:lang w:val="id-ID"/>
        </w:rPr>
        <w:t>cited</w:t>
      </w:r>
      <w:proofErr w:type="spellEnd"/>
      <w:r w:rsidR="00DD2BCF" w:rsidRPr="00C06F2A">
        <w:rPr>
          <w:lang w:val="id-ID"/>
        </w:rPr>
        <w:t xml:space="preserve"> in </w:t>
      </w:r>
      <w:proofErr w:type="spellStart"/>
      <w:r w:rsidR="00DD2BCF" w:rsidRPr="00C06F2A">
        <w:rPr>
          <w:lang w:val="id-ID"/>
        </w:rPr>
        <w:t>the</w:t>
      </w:r>
      <w:proofErr w:type="spellEnd"/>
      <w:r w:rsidR="00DD2BCF" w:rsidRPr="00C06F2A">
        <w:rPr>
          <w:lang w:val="id-ID"/>
        </w:rPr>
        <w:t xml:space="preserve"> </w:t>
      </w:r>
      <w:proofErr w:type="spellStart"/>
      <w:r w:rsidR="00DD2BCF" w:rsidRPr="00C06F2A">
        <w:rPr>
          <w:lang w:val="id-ID"/>
        </w:rPr>
        <w:t>manuscript</w:t>
      </w:r>
      <w:proofErr w:type="spellEnd"/>
      <w:r w:rsidR="00DD2BCF" w:rsidRPr="00C06F2A">
        <w:rPr>
          <w:lang w:val="id-ID"/>
        </w:rPr>
        <w:t xml:space="preserve"> </w:t>
      </w:r>
      <w:r w:rsidR="00DD2BCF">
        <w:rPr>
          <w:lang w:val="id-ID"/>
        </w:rPr>
        <w:fldChar w:fldCharType="begin" w:fldLock="1"/>
      </w:r>
      <w:r w:rsidR="00DD2BCF">
        <w:rPr>
          <w:lang w:val="id-ID"/>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Pr>
          <w:lang w:val="id-ID"/>
        </w:rPr>
        <w:fldChar w:fldCharType="separate"/>
      </w:r>
      <w:r w:rsidR="00DD2BCF" w:rsidRPr="00DA6C9D">
        <w:rPr>
          <w:noProof/>
          <w:lang w:val="id-ID"/>
        </w:rPr>
        <w:t>[5]</w:t>
      </w:r>
      <w:r w:rsidR="00DD2BCF">
        <w:rPr>
          <w:lang w:val="id-ID"/>
        </w:rPr>
        <w:fldChar w:fldCharType="end"/>
      </w:r>
      <w:r w:rsidR="00DD2BCF" w:rsidRPr="00C06F2A">
        <w:rPr>
          <w:lang w:val="id-ID"/>
        </w:rPr>
        <w:t xml:space="preserve">, </w:t>
      </w:r>
      <w:r w:rsidR="00DD2BCF">
        <w:rPr>
          <w:lang w:val="id-ID"/>
        </w:rPr>
        <w:fldChar w:fldCharType="begin" w:fldLock="1"/>
      </w:r>
      <w:r w:rsidR="00DD2BCF">
        <w:rPr>
          <w:lang w:val="id-ID"/>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Pr>
          <w:lang w:val="id-ID"/>
        </w:rPr>
        <w:fldChar w:fldCharType="separate"/>
      </w:r>
      <w:r w:rsidR="00DD2BCF" w:rsidRPr="00DA6C9D">
        <w:rPr>
          <w:noProof/>
          <w:lang w:val="id-ID"/>
        </w:rPr>
        <w:t>[8]–[13]</w:t>
      </w:r>
      <w:r w:rsidR="00DD2BCF">
        <w:rPr>
          <w:lang w:val="id-ID"/>
        </w:rPr>
        <w:fldChar w:fldCharType="end"/>
      </w:r>
      <w:r w:rsidR="00DD2BCF" w:rsidRPr="00C06F2A">
        <w:rPr>
          <w:lang w:val="id-ID"/>
        </w:rPr>
        <w:t xml:space="preserve">. </w:t>
      </w:r>
      <w:r w:rsidR="009D52E7">
        <w:t>The A</w:t>
      </w:r>
      <w:proofErr w:type="spellStart"/>
      <w:r w:rsidR="009D52E7" w:rsidRPr="009D52E7">
        <w:rPr>
          <w:lang w:val="id-ID"/>
        </w:rPr>
        <w:t>nt</w:t>
      </w:r>
      <w:proofErr w:type="spellEnd"/>
      <w:r w:rsidR="009D52E7" w:rsidRPr="009D52E7">
        <w:rPr>
          <w:lang w:val="id-ID"/>
        </w:rPr>
        <w:t xml:space="preserve"> </w:t>
      </w:r>
      <w:proofErr w:type="spellStart"/>
      <w:r w:rsidR="009D52E7" w:rsidRPr="009D52E7">
        <w:rPr>
          <w:lang w:val="id-ID"/>
        </w:rPr>
        <w:t>colony</w:t>
      </w:r>
      <w:proofErr w:type="spellEnd"/>
      <w:r w:rsidR="009D52E7" w:rsidRPr="009D52E7">
        <w:rPr>
          <w:lang w:val="id-ID"/>
        </w:rPr>
        <w:t xml:space="preserve"> </w:t>
      </w:r>
      <w:proofErr w:type="spellStart"/>
      <w:r w:rsidR="009D52E7" w:rsidRPr="009D52E7">
        <w:rPr>
          <w:lang w:val="id-ID"/>
        </w:rPr>
        <w:t>optimization</w:t>
      </w:r>
      <w:proofErr w:type="spellEnd"/>
      <w:r w:rsidR="00F1746B" w:rsidRPr="00F1746B">
        <w:rPr>
          <w:lang w:val="id-ID"/>
        </w:rPr>
        <w:t xml:space="preserve"> </w:t>
      </w:r>
      <w:r w:rsidR="009D52E7">
        <w:t xml:space="preserve">is shown in </w:t>
      </w:r>
      <w:r w:rsidR="00F1746B">
        <w:t xml:space="preserve">Figure </w:t>
      </w:r>
      <w:r w:rsidR="009D52E7">
        <w:t>1</w:t>
      </w:r>
      <w:r w:rsidR="00DD2BCF" w:rsidRPr="0034191F">
        <w:t>.</w:t>
      </w:r>
    </w:p>
    <w:bookmarkEnd w:id="5"/>
    <w:p w14:paraId="7E547AE0" w14:textId="77777777" w:rsidR="006E1F55" w:rsidRDefault="006E1F55" w:rsidP="006E1F55">
      <w:pPr>
        <w:ind w:firstLine="720"/>
        <w:jc w:val="both"/>
        <w:rPr>
          <w:b/>
          <w:bCs/>
        </w:rPr>
      </w:pPr>
    </w:p>
    <w:p w14:paraId="09FAD92B" w14:textId="77777777" w:rsidR="006E1F55" w:rsidRDefault="006E1F55" w:rsidP="006E1F55">
      <w:pPr>
        <w:rPr>
          <w:b/>
          <w:bCs/>
        </w:rPr>
      </w:pPr>
    </w:p>
    <w:p w14:paraId="32B9F46E" w14:textId="5A0C8115" w:rsidR="006E1F55" w:rsidRPr="00B44E93" w:rsidRDefault="009D52E7" w:rsidP="00F1746B">
      <w:pPr>
        <w:jc w:val="center"/>
        <w:rPr>
          <w:b/>
          <w:bCs/>
        </w:rPr>
      </w:pPr>
      <w:r>
        <w:rPr>
          <w:b/>
          <w:bCs/>
          <w:noProof/>
        </w:rPr>
        <w:drawing>
          <wp:inline distT="0" distB="0" distL="0" distR="0" wp14:anchorId="2CC0D67A" wp14:editId="436F2F99">
            <wp:extent cx="5232423" cy="4185285"/>
            <wp:effectExtent l="0" t="0" r="0" b="0"/>
            <wp:docPr id="11" name="Picture 11"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vector graphic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58489" cy="4206135"/>
                    </a:xfrm>
                    <a:prstGeom prst="rect">
                      <a:avLst/>
                    </a:prstGeom>
                  </pic:spPr>
                </pic:pic>
              </a:graphicData>
            </a:graphic>
          </wp:inline>
        </w:drawing>
      </w:r>
    </w:p>
    <w:p w14:paraId="42F7D94A" w14:textId="3957B29E" w:rsidR="00F1746B" w:rsidRDefault="00F1746B" w:rsidP="00F1746B">
      <w:pPr>
        <w:jc w:val="center"/>
        <w:rPr>
          <w:b/>
          <w:bCs/>
        </w:rPr>
      </w:pPr>
    </w:p>
    <w:p w14:paraId="68A50511" w14:textId="1511DC6F" w:rsidR="00F1746B" w:rsidRPr="009D52E7" w:rsidRDefault="005D68A1" w:rsidP="00B44E93">
      <w:pPr>
        <w:jc w:val="center"/>
      </w:pPr>
      <w:r w:rsidRPr="005D68A1">
        <w:rPr>
          <w:lang w:val="ms-MY"/>
        </w:rPr>
        <w:t xml:space="preserve">Figure 1. </w:t>
      </w:r>
      <w:proofErr w:type="spellStart"/>
      <w:r w:rsidRPr="005D68A1">
        <w:rPr>
          <w:lang w:val="ms-MY"/>
        </w:rPr>
        <w:t>Shows</w:t>
      </w:r>
      <w:proofErr w:type="spellEnd"/>
      <w:r w:rsidRPr="005D68A1">
        <w:rPr>
          <w:lang w:val="ms-MY"/>
        </w:rPr>
        <w:t xml:space="preserve"> </w:t>
      </w:r>
      <w:proofErr w:type="spellStart"/>
      <w:r w:rsidRPr="005D68A1">
        <w:rPr>
          <w:lang w:val="ms-MY"/>
        </w:rPr>
        <w:t>the</w:t>
      </w:r>
      <w:proofErr w:type="spellEnd"/>
      <w:r w:rsidRPr="005D68A1">
        <w:rPr>
          <w:lang w:val="ms-MY"/>
        </w:rPr>
        <w:t xml:space="preserve"> </w:t>
      </w:r>
      <w:r w:rsidR="009D52E7">
        <w:t>A</w:t>
      </w:r>
      <w:proofErr w:type="spellStart"/>
      <w:r w:rsidR="009D52E7" w:rsidRPr="009D52E7">
        <w:rPr>
          <w:lang w:val="id-ID"/>
        </w:rPr>
        <w:t>nt</w:t>
      </w:r>
      <w:proofErr w:type="spellEnd"/>
      <w:r w:rsidR="009D52E7" w:rsidRPr="009D52E7">
        <w:rPr>
          <w:lang w:val="id-ID"/>
        </w:rPr>
        <w:t xml:space="preserve"> </w:t>
      </w:r>
      <w:r w:rsidR="009D52E7">
        <w:t>C</w:t>
      </w:r>
      <w:proofErr w:type="spellStart"/>
      <w:r w:rsidR="009D52E7" w:rsidRPr="009D52E7">
        <w:rPr>
          <w:lang w:val="id-ID"/>
        </w:rPr>
        <w:t>olony</w:t>
      </w:r>
      <w:proofErr w:type="spellEnd"/>
      <w:r w:rsidR="009D52E7" w:rsidRPr="009D52E7">
        <w:rPr>
          <w:lang w:val="id-ID"/>
        </w:rPr>
        <w:t xml:space="preserve"> </w:t>
      </w:r>
      <w:r w:rsidR="009D52E7">
        <w:t>O</w:t>
      </w:r>
      <w:proofErr w:type="spellStart"/>
      <w:r w:rsidR="009D52E7" w:rsidRPr="009D52E7">
        <w:rPr>
          <w:lang w:val="id-ID"/>
        </w:rPr>
        <w:t>ptimization</w:t>
      </w:r>
      <w:proofErr w:type="spellEnd"/>
      <w:r w:rsidR="009D52E7">
        <w:t xml:space="preserve"> algorithm</w:t>
      </w:r>
    </w:p>
    <w:p w14:paraId="7F68CA62" w14:textId="1B81D062" w:rsidR="00D7478D" w:rsidRDefault="00D7478D" w:rsidP="00B44E93">
      <w:pPr>
        <w:jc w:val="center"/>
        <w:rPr>
          <w:b/>
          <w:bCs/>
        </w:rPr>
      </w:pPr>
    </w:p>
    <w:p w14:paraId="2F6CE48A" w14:textId="77777777" w:rsidR="009D52E7" w:rsidRDefault="009D52E7" w:rsidP="00F1746B">
      <w:pPr>
        <w:jc w:val="center"/>
      </w:pPr>
      <w:bookmarkStart w:id="6" w:name="_Hlk29891265"/>
    </w:p>
    <w:p w14:paraId="2CDB7587" w14:textId="77777777" w:rsidR="009D52E7" w:rsidRDefault="009D52E7" w:rsidP="00F1746B">
      <w:pPr>
        <w:jc w:val="center"/>
      </w:pPr>
    </w:p>
    <w:bookmarkEnd w:id="6"/>
    <w:p w14:paraId="4C56EC00" w14:textId="1FC38E21" w:rsidR="00B44E93" w:rsidRDefault="00B44E93" w:rsidP="00F1746B">
      <w:pPr>
        <w:jc w:val="center"/>
        <w:rPr>
          <w:lang w:val="ms-MY"/>
        </w:rPr>
      </w:pPr>
    </w:p>
    <w:p w14:paraId="2C304821" w14:textId="77777777" w:rsidR="00B44E93" w:rsidRPr="00F1746B" w:rsidRDefault="00B44E93" w:rsidP="00F1746B">
      <w:pPr>
        <w:jc w:val="center"/>
      </w:pPr>
    </w:p>
    <w:p w14:paraId="0B0A26BD" w14:textId="77777777" w:rsidR="00DD2BCF" w:rsidRPr="003D5B84" w:rsidRDefault="00DD2BCF" w:rsidP="00E253B7">
      <w:pPr>
        <w:jc w:val="center"/>
        <w:rPr>
          <w:lang w:val="id-ID"/>
        </w:rPr>
      </w:pPr>
      <w:r w:rsidRPr="003D5B84">
        <w:rPr>
          <w:lang w:val="id-ID"/>
        </w:rPr>
        <w:t xml:space="preserve">Table 1. The </w:t>
      </w:r>
      <w:r>
        <w:t>p</w:t>
      </w:r>
      <w:r w:rsidRPr="003D5B84">
        <w:rPr>
          <w:lang w:val="id-ID"/>
        </w:rPr>
        <w:t>erformance of ...</w:t>
      </w:r>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3D5B84" w14:paraId="514A0E25" w14:textId="77777777" w:rsidTr="00C2472D">
        <w:trPr>
          <w:jc w:val="center"/>
        </w:trPr>
        <w:tc>
          <w:tcPr>
            <w:tcW w:w="1124" w:type="dxa"/>
            <w:tcBorders>
              <w:top w:val="single" w:sz="4" w:space="0" w:color="auto"/>
              <w:bottom w:val="single" w:sz="4" w:space="0" w:color="auto"/>
            </w:tcBorders>
          </w:tcPr>
          <w:p w14:paraId="1F7CD064" w14:textId="77777777" w:rsidR="00DD2BCF" w:rsidRPr="003D5B84" w:rsidRDefault="00DD2BCF" w:rsidP="00C2472D">
            <w:pPr>
              <w:jc w:val="center"/>
              <w:rPr>
                <w:sz w:val="16"/>
                <w:szCs w:val="16"/>
                <w:lang w:val="id-ID"/>
              </w:rPr>
            </w:pPr>
            <w:r w:rsidRPr="003D5B84">
              <w:rPr>
                <w:sz w:val="16"/>
                <w:szCs w:val="16"/>
                <w:lang w:val="id-ID"/>
              </w:rPr>
              <w:t>Variable</w:t>
            </w:r>
          </w:p>
        </w:tc>
        <w:tc>
          <w:tcPr>
            <w:tcW w:w="1358" w:type="dxa"/>
            <w:tcBorders>
              <w:top w:val="single" w:sz="4" w:space="0" w:color="auto"/>
              <w:bottom w:val="single" w:sz="4" w:space="0" w:color="auto"/>
            </w:tcBorders>
          </w:tcPr>
          <w:p w14:paraId="12535ADB" w14:textId="77777777" w:rsidR="00DD2BCF" w:rsidRPr="003D5B84" w:rsidRDefault="00DD2BCF" w:rsidP="00C2472D">
            <w:pPr>
              <w:jc w:val="center"/>
              <w:rPr>
                <w:sz w:val="16"/>
                <w:szCs w:val="16"/>
              </w:rPr>
            </w:pPr>
            <w:r w:rsidRPr="003D5B84">
              <w:rPr>
                <w:sz w:val="16"/>
                <w:szCs w:val="16"/>
                <w:lang w:val="id-ID"/>
              </w:rPr>
              <w:t>Speed</w:t>
            </w:r>
            <w:r w:rsidRPr="003D5B84">
              <w:rPr>
                <w:sz w:val="16"/>
                <w:szCs w:val="16"/>
              </w:rPr>
              <w:t xml:space="preserve"> (rpm)</w:t>
            </w:r>
          </w:p>
        </w:tc>
        <w:tc>
          <w:tcPr>
            <w:tcW w:w="1350" w:type="dxa"/>
            <w:tcBorders>
              <w:top w:val="single" w:sz="4" w:space="0" w:color="auto"/>
              <w:bottom w:val="single" w:sz="4" w:space="0" w:color="auto"/>
            </w:tcBorders>
          </w:tcPr>
          <w:p w14:paraId="22D144D3" w14:textId="77777777" w:rsidR="00DD2BCF" w:rsidRPr="003D5B84" w:rsidRDefault="00DD2BCF" w:rsidP="00C2472D">
            <w:pPr>
              <w:jc w:val="center"/>
              <w:rPr>
                <w:sz w:val="16"/>
                <w:szCs w:val="16"/>
              </w:rPr>
            </w:pPr>
            <w:r w:rsidRPr="003D5B84">
              <w:rPr>
                <w:sz w:val="16"/>
                <w:szCs w:val="16"/>
                <w:lang w:val="id-ID"/>
              </w:rPr>
              <w:t>Power</w:t>
            </w:r>
            <w:r w:rsidRPr="003D5B84">
              <w:rPr>
                <w:sz w:val="16"/>
                <w:szCs w:val="16"/>
              </w:rPr>
              <w:t xml:space="preserve"> (kW)</w:t>
            </w:r>
          </w:p>
        </w:tc>
      </w:tr>
      <w:tr w:rsidR="00DD2BCF" w:rsidRPr="003D5B84" w14:paraId="78149B1E" w14:textId="77777777" w:rsidTr="00C2472D">
        <w:trPr>
          <w:jc w:val="center"/>
        </w:trPr>
        <w:tc>
          <w:tcPr>
            <w:tcW w:w="1124" w:type="dxa"/>
            <w:tcBorders>
              <w:top w:val="single" w:sz="4" w:space="0" w:color="auto"/>
            </w:tcBorders>
          </w:tcPr>
          <w:p w14:paraId="210D83D3" w14:textId="77777777" w:rsidR="00DD2BCF" w:rsidRPr="003D5B84" w:rsidRDefault="00DD2BCF" w:rsidP="00C2472D">
            <w:pPr>
              <w:jc w:val="center"/>
              <w:rPr>
                <w:sz w:val="16"/>
                <w:szCs w:val="16"/>
              </w:rPr>
            </w:pPr>
            <w:r w:rsidRPr="003D5B84">
              <w:rPr>
                <w:sz w:val="16"/>
                <w:szCs w:val="16"/>
              </w:rPr>
              <w:t>x</w:t>
            </w:r>
          </w:p>
        </w:tc>
        <w:tc>
          <w:tcPr>
            <w:tcW w:w="1358" w:type="dxa"/>
            <w:tcBorders>
              <w:top w:val="single" w:sz="4" w:space="0" w:color="auto"/>
            </w:tcBorders>
          </w:tcPr>
          <w:p w14:paraId="1E86FC16" w14:textId="77777777" w:rsidR="00DD2BCF" w:rsidRPr="003D5B84" w:rsidRDefault="00DD2BCF" w:rsidP="00C2472D">
            <w:pPr>
              <w:jc w:val="center"/>
              <w:rPr>
                <w:sz w:val="16"/>
                <w:szCs w:val="16"/>
              </w:rPr>
            </w:pPr>
            <w:r w:rsidRPr="003D5B84">
              <w:rPr>
                <w:sz w:val="16"/>
                <w:szCs w:val="16"/>
              </w:rPr>
              <w:t>10</w:t>
            </w:r>
          </w:p>
        </w:tc>
        <w:tc>
          <w:tcPr>
            <w:tcW w:w="1350" w:type="dxa"/>
            <w:tcBorders>
              <w:top w:val="single" w:sz="4" w:space="0" w:color="auto"/>
            </w:tcBorders>
          </w:tcPr>
          <w:p w14:paraId="3B81A7F1" w14:textId="77777777" w:rsidR="00DD2BCF" w:rsidRPr="003D5B84" w:rsidRDefault="00DD2BCF" w:rsidP="00C2472D">
            <w:pPr>
              <w:ind w:right="280"/>
              <w:jc w:val="right"/>
              <w:rPr>
                <w:sz w:val="16"/>
                <w:szCs w:val="16"/>
              </w:rPr>
            </w:pPr>
            <w:r w:rsidRPr="003D5B84">
              <w:rPr>
                <w:sz w:val="16"/>
                <w:szCs w:val="16"/>
              </w:rPr>
              <w:t>8.6</w:t>
            </w:r>
          </w:p>
        </w:tc>
      </w:tr>
      <w:tr w:rsidR="00DD2BCF" w:rsidRPr="003D5B84" w14:paraId="4057ED70" w14:textId="77777777" w:rsidTr="00C2472D">
        <w:trPr>
          <w:jc w:val="center"/>
        </w:trPr>
        <w:tc>
          <w:tcPr>
            <w:tcW w:w="1124" w:type="dxa"/>
          </w:tcPr>
          <w:p w14:paraId="498FD48B" w14:textId="77777777" w:rsidR="00DD2BCF" w:rsidRPr="003D5B84" w:rsidRDefault="00DD2BCF" w:rsidP="00C2472D">
            <w:pPr>
              <w:jc w:val="center"/>
              <w:rPr>
                <w:sz w:val="16"/>
                <w:szCs w:val="16"/>
              </w:rPr>
            </w:pPr>
            <w:r w:rsidRPr="003D5B84">
              <w:rPr>
                <w:sz w:val="16"/>
                <w:szCs w:val="16"/>
              </w:rPr>
              <w:t>y</w:t>
            </w:r>
          </w:p>
        </w:tc>
        <w:tc>
          <w:tcPr>
            <w:tcW w:w="1358" w:type="dxa"/>
          </w:tcPr>
          <w:p w14:paraId="2DD9C212" w14:textId="77777777" w:rsidR="00DD2BCF" w:rsidRPr="003D5B84" w:rsidRDefault="00DD2BCF" w:rsidP="00C2472D">
            <w:pPr>
              <w:jc w:val="center"/>
              <w:rPr>
                <w:sz w:val="16"/>
                <w:szCs w:val="16"/>
              </w:rPr>
            </w:pPr>
            <w:r w:rsidRPr="003D5B84">
              <w:rPr>
                <w:sz w:val="16"/>
                <w:szCs w:val="16"/>
              </w:rPr>
              <w:t>15</w:t>
            </w:r>
          </w:p>
        </w:tc>
        <w:tc>
          <w:tcPr>
            <w:tcW w:w="1350" w:type="dxa"/>
          </w:tcPr>
          <w:p w14:paraId="15F703C2" w14:textId="77777777" w:rsidR="00DD2BCF" w:rsidRPr="003D5B84" w:rsidRDefault="00DD2BCF" w:rsidP="00C2472D">
            <w:pPr>
              <w:ind w:right="280"/>
              <w:jc w:val="right"/>
              <w:rPr>
                <w:sz w:val="16"/>
                <w:szCs w:val="16"/>
              </w:rPr>
            </w:pPr>
            <w:r w:rsidRPr="003D5B84">
              <w:rPr>
                <w:sz w:val="16"/>
                <w:szCs w:val="16"/>
              </w:rPr>
              <w:t>12.4</w:t>
            </w:r>
          </w:p>
        </w:tc>
      </w:tr>
      <w:tr w:rsidR="00DD2BCF" w:rsidRPr="003D5B84" w14:paraId="2CAEF315" w14:textId="77777777" w:rsidTr="00C2472D">
        <w:trPr>
          <w:jc w:val="center"/>
        </w:trPr>
        <w:tc>
          <w:tcPr>
            <w:tcW w:w="1124" w:type="dxa"/>
            <w:tcBorders>
              <w:bottom w:val="single" w:sz="4" w:space="0" w:color="auto"/>
            </w:tcBorders>
          </w:tcPr>
          <w:p w14:paraId="083CB1DD" w14:textId="77777777" w:rsidR="00DD2BCF" w:rsidRPr="003D5B84" w:rsidRDefault="00DD2BCF" w:rsidP="00C2472D">
            <w:pPr>
              <w:jc w:val="center"/>
              <w:rPr>
                <w:sz w:val="16"/>
                <w:szCs w:val="16"/>
              </w:rPr>
            </w:pPr>
            <w:r w:rsidRPr="003D5B84">
              <w:rPr>
                <w:sz w:val="16"/>
                <w:szCs w:val="16"/>
              </w:rPr>
              <w:t>z</w:t>
            </w:r>
          </w:p>
        </w:tc>
        <w:tc>
          <w:tcPr>
            <w:tcW w:w="1358" w:type="dxa"/>
            <w:tcBorders>
              <w:bottom w:val="single" w:sz="4" w:space="0" w:color="auto"/>
            </w:tcBorders>
          </w:tcPr>
          <w:p w14:paraId="1B802C67" w14:textId="77777777" w:rsidR="00DD2BCF" w:rsidRPr="003D5B84" w:rsidRDefault="00DD2BCF" w:rsidP="00C2472D">
            <w:pPr>
              <w:jc w:val="center"/>
              <w:rPr>
                <w:sz w:val="16"/>
                <w:szCs w:val="16"/>
              </w:rPr>
            </w:pPr>
            <w:r w:rsidRPr="003D5B84">
              <w:rPr>
                <w:sz w:val="16"/>
                <w:szCs w:val="16"/>
              </w:rPr>
              <w:t>20</w:t>
            </w:r>
          </w:p>
        </w:tc>
        <w:tc>
          <w:tcPr>
            <w:tcW w:w="1350" w:type="dxa"/>
            <w:tcBorders>
              <w:bottom w:val="single" w:sz="4" w:space="0" w:color="auto"/>
            </w:tcBorders>
          </w:tcPr>
          <w:p w14:paraId="1F3418FA" w14:textId="77777777" w:rsidR="00DD2BCF" w:rsidRPr="003D5B84" w:rsidRDefault="00DD2BCF" w:rsidP="00C2472D">
            <w:pPr>
              <w:ind w:right="280"/>
              <w:jc w:val="right"/>
              <w:rPr>
                <w:sz w:val="16"/>
                <w:szCs w:val="16"/>
              </w:rPr>
            </w:pPr>
            <w:r w:rsidRPr="003D5B84">
              <w:rPr>
                <w:sz w:val="16"/>
                <w:szCs w:val="16"/>
              </w:rPr>
              <w:t>15.3</w:t>
            </w:r>
          </w:p>
        </w:tc>
      </w:tr>
      <w:bookmarkEnd w:id="4"/>
    </w:tbl>
    <w:p w14:paraId="6C822809" w14:textId="6CE6C16A" w:rsidR="00E253B7" w:rsidRDefault="00E253B7" w:rsidP="00E253B7">
      <w:pPr>
        <w:tabs>
          <w:tab w:val="left" w:pos="426"/>
        </w:tabs>
        <w:ind w:left="426"/>
        <w:rPr>
          <w:b/>
          <w:bCs/>
          <w:lang w:val="id-ID"/>
        </w:rPr>
      </w:pPr>
    </w:p>
    <w:p w14:paraId="6B9703E7" w14:textId="77777777" w:rsidR="00E253B7" w:rsidRDefault="00E253B7" w:rsidP="00E253B7">
      <w:pPr>
        <w:tabs>
          <w:tab w:val="left" w:pos="426"/>
        </w:tabs>
        <w:ind w:left="426"/>
        <w:rPr>
          <w:b/>
          <w:bCs/>
          <w:lang w:val="id-ID"/>
        </w:rPr>
      </w:pPr>
    </w:p>
    <w:p w14:paraId="52F942E6" w14:textId="68A06651" w:rsidR="00E619D6" w:rsidRPr="003D6B19" w:rsidRDefault="00E619D6" w:rsidP="00E619D6">
      <w:pPr>
        <w:numPr>
          <w:ilvl w:val="0"/>
          <w:numId w:val="15"/>
        </w:numPr>
        <w:tabs>
          <w:tab w:val="left" w:pos="426"/>
        </w:tabs>
        <w:ind w:left="426" w:hanging="426"/>
        <w:rPr>
          <w:b/>
          <w:bCs/>
          <w:lang w:val="id-ID"/>
        </w:rPr>
      </w:pPr>
      <w:r w:rsidRPr="003D6B19">
        <w:rPr>
          <w:b/>
          <w:bCs/>
          <w:lang w:val="id-ID"/>
        </w:rPr>
        <w:t>RESULTS AND DISCUSSION</w:t>
      </w:r>
      <w:r w:rsidRPr="003D6B19">
        <w:rPr>
          <w:b/>
          <w:bCs/>
        </w:rPr>
        <w:t xml:space="preserve"> (10 PT)</w:t>
      </w:r>
    </w:p>
    <w:p w14:paraId="3F885236" w14:textId="5C5D1651" w:rsidR="00E619D6" w:rsidRDefault="00E619D6" w:rsidP="00E619D6">
      <w:pPr>
        <w:ind w:firstLine="720"/>
        <w:jc w:val="both"/>
        <w:rPr>
          <w:lang w:val="id-ID"/>
        </w:rPr>
      </w:pPr>
      <w:r w:rsidRPr="003D6B19">
        <w:rPr>
          <w:lang w:val="id-ID"/>
        </w:rPr>
        <w:t xml:space="preserve">In </w:t>
      </w:r>
      <w:r w:rsidR="00354A58" w:rsidRPr="003D6B19">
        <w:rPr>
          <w:lang w:val="id-ID"/>
        </w:rPr>
        <w:t xml:space="preserve">this section, it is explained the results of research and at the same time is given </w:t>
      </w:r>
      <w:r w:rsidR="00354A58" w:rsidRPr="003D6B19">
        <w:rPr>
          <w:lang w:val="id-ID"/>
        </w:rPr>
        <w:br/>
        <w:t xml:space="preserve">the comprehensive discussion. Results can be presented in figures, graphs, tables and others that make </w:t>
      </w:r>
      <w:r w:rsidR="00354A58" w:rsidRPr="003D6B19">
        <w:rPr>
          <w:lang w:val="id-ID"/>
        </w:rPr>
        <w:br/>
      </w:r>
      <w:r w:rsidR="003E23A5" w:rsidRPr="00763C7D">
        <w:rPr>
          <w:lang w:val="id-ID"/>
        </w:rPr>
        <w:t xml:space="preserve">the reader understand </w:t>
      </w:r>
      <w:r w:rsidR="00DD2BCF" w:rsidRPr="00C06F2A">
        <w:rPr>
          <w:lang w:val="id-ID"/>
        </w:rPr>
        <w:t xml:space="preserve">easily </w:t>
      </w:r>
      <w:r w:rsidR="00DD2BCF">
        <w:rPr>
          <w:lang w:val="id-ID"/>
        </w:rPr>
        <w:fldChar w:fldCharType="begin" w:fldLock="1"/>
      </w:r>
      <w:r w:rsidR="00DD2BCF">
        <w:rPr>
          <w:lang w:val="id-ID"/>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Pr>
          <w:lang w:val="id-ID"/>
        </w:rPr>
        <w:fldChar w:fldCharType="separate"/>
      </w:r>
      <w:r w:rsidR="00DD2BCF" w:rsidRPr="00DA6C9D">
        <w:rPr>
          <w:noProof/>
          <w:lang w:val="id-ID"/>
        </w:rPr>
        <w:t>[14]</w:t>
      </w:r>
      <w:r w:rsidR="00DD2BCF">
        <w:rPr>
          <w:lang w:val="id-ID"/>
        </w:rPr>
        <w:fldChar w:fldCharType="end"/>
      </w:r>
      <w:r w:rsidR="00DD2BCF" w:rsidRPr="00C06F2A">
        <w:rPr>
          <w:lang w:val="id-ID"/>
        </w:rPr>
        <w:t xml:space="preserve">, </w:t>
      </w:r>
      <w:r w:rsidR="00DD2BCF">
        <w:rPr>
          <w:lang w:val="id-ID"/>
        </w:rPr>
        <w:fldChar w:fldCharType="begin" w:fldLock="1"/>
      </w:r>
      <w:r w:rsidR="00DD2BCF">
        <w:rPr>
          <w:lang w:val="id-ID"/>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Pr>
          <w:lang w:val="id-ID"/>
        </w:rPr>
        <w:fldChar w:fldCharType="separate"/>
      </w:r>
      <w:r w:rsidR="00DD2BCF" w:rsidRPr="00DA6C9D">
        <w:rPr>
          <w:noProof/>
          <w:lang w:val="id-ID"/>
        </w:rPr>
        <w:t>[15]</w:t>
      </w:r>
      <w:r w:rsidR="00DD2BCF">
        <w:rPr>
          <w:lang w:val="id-ID"/>
        </w:rPr>
        <w:fldChar w:fldCharType="end"/>
      </w:r>
      <w:r w:rsidR="00DD2BCF" w:rsidRPr="00C06F2A">
        <w:rPr>
          <w:lang w:val="id-ID"/>
        </w:rPr>
        <w:t xml:space="preserve">. </w:t>
      </w:r>
      <w:r w:rsidR="00354A58" w:rsidRPr="003D6B19">
        <w:rPr>
          <w:lang w:val="id-ID"/>
        </w:rPr>
        <w:t xml:space="preserve">The discussion can be made in several </w:t>
      </w:r>
      <w:bookmarkStart w:id="7" w:name="_Hlk78354443"/>
      <w:r w:rsidR="00354A58" w:rsidRPr="003D6B19">
        <w:rPr>
          <w:lang w:val="id-ID"/>
        </w:rPr>
        <w:t>sub-</w:t>
      </w:r>
      <w:r w:rsidR="00354A58" w:rsidRPr="003D6B19">
        <w:t>sections</w:t>
      </w:r>
      <w:r w:rsidR="00354A58" w:rsidRPr="003D6B19">
        <w:rPr>
          <w:lang w:val="id-ID"/>
        </w:rPr>
        <w:t>.</w:t>
      </w:r>
      <w:bookmarkEnd w:id="7"/>
    </w:p>
    <w:p w14:paraId="3AFF7DEF" w14:textId="77777777" w:rsidR="003E23A5" w:rsidRPr="003D6B19" w:rsidRDefault="003E23A5" w:rsidP="00E619D6">
      <w:pPr>
        <w:ind w:firstLine="720"/>
        <w:jc w:val="both"/>
        <w:rPr>
          <w:lang w:val="id-ID"/>
        </w:rPr>
      </w:pPr>
    </w:p>
    <w:p w14:paraId="43E3F43A" w14:textId="77777777" w:rsidR="00E619D6" w:rsidRPr="003D6B19" w:rsidRDefault="00E619D6" w:rsidP="00E619D6">
      <w:pPr>
        <w:rPr>
          <w:b/>
          <w:bCs/>
          <w:lang w:val="id-ID"/>
        </w:rPr>
      </w:pPr>
      <w:r w:rsidRPr="003D6B19">
        <w:rPr>
          <w:b/>
          <w:bCs/>
          <w:lang w:val="id-ID"/>
        </w:rPr>
        <w:t xml:space="preserve">3.1. </w:t>
      </w:r>
      <w:r w:rsidRPr="003D6B19">
        <w:rPr>
          <w:b/>
          <w:bCs/>
        </w:rPr>
        <w:t xml:space="preserve"> </w:t>
      </w:r>
      <w:r w:rsidRPr="003D6B19">
        <w:rPr>
          <w:b/>
          <w:bCs/>
          <w:lang w:val="id-ID"/>
        </w:rPr>
        <w:t xml:space="preserve">Sub </w:t>
      </w:r>
      <w:r w:rsidRPr="003D6B19">
        <w:rPr>
          <w:b/>
          <w:bCs/>
        </w:rPr>
        <w:t>section</w:t>
      </w:r>
      <w:r w:rsidRPr="003D6B19">
        <w:rPr>
          <w:b/>
          <w:bCs/>
          <w:lang w:val="id-ID"/>
        </w:rPr>
        <w:t xml:space="preserve"> 1</w:t>
      </w:r>
    </w:p>
    <w:p w14:paraId="1B1D1F07" w14:textId="77777777" w:rsidR="00E619D6" w:rsidRPr="003D6B19" w:rsidRDefault="00E619D6" w:rsidP="00E619D6">
      <w:pPr>
        <w:ind w:firstLine="709"/>
        <w:jc w:val="both"/>
        <w:rPr>
          <w:bCs/>
          <w:lang w:val="id-ID"/>
        </w:rPr>
      </w:pPr>
      <w:bookmarkStart w:id="8" w:name="_Hlk79140867"/>
      <w:r w:rsidRPr="003D6B19">
        <w:rPr>
          <w:lang w:val="id-ID"/>
        </w:rPr>
        <w:t>Equations</w:t>
      </w:r>
      <w:r w:rsidRPr="003D6B19">
        <w:rPr>
          <w:bCs/>
          <w:lang w:val="id-ID"/>
        </w:rPr>
        <w:t xml:space="preserve"> should be placed at the center of the line and provided consecutively with equation numbers</w:t>
      </w:r>
      <w:r w:rsidRPr="003D6B19">
        <w:rPr>
          <w:bCs/>
        </w:rPr>
        <w:t xml:space="preserve"> </w:t>
      </w:r>
      <w:r w:rsidRPr="003D6B19">
        <w:rPr>
          <w:bCs/>
          <w:lang w:val="id-ID"/>
        </w:rPr>
        <w:t xml:space="preserve">in </w:t>
      </w:r>
      <w:r w:rsidRPr="003D6B19">
        <w:rPr>
          <w:lang w:val="id-ID"/>
        </w:rPr>
        <w:t>parentheses</w:t>
      </w:r>
      <w:r w:rsidRPr="003D6B19">
        <w:rPr>
          <w:bCs/>
          <w:lang w:val="id-ID"/>
        </w:rPr>
        <w:t xml:space="preserve"> flushed to the right margin, as in (1). The use of Microsoft Equation Editor or MathType is</w:t>
      </w:r>
      <w:r w:rsidRPr="003D6B19">
        <w:rPr>
          <w:bCs/>
        </w:rPr>
        <w:t xml:space="preserve"> </w:t>
      </w:r>
      <w:r w:rsidRPr="003D6B19">
        <w:rPr>
          <w:bCs/>
          <w:lang w:val="id-ID"/>
        </w:rPr>
        <w:t>preferred.</w:t>
      </w:r>
      <w:bookmarkStart w:id="9" w:name="_Hlk79141485"/>
    </w:p>
    <w:p w14:paraId="473C0DBC" w14:textId="77777777" w:rsidR="00E619D6" w:rsidRPr="003D6B19" w:rsidRDefault="00E619D6" w:rsidP="00E619D6">
      <w:pPr>
        <w:rPr>
          <w:bCs/>
          <w:lang w:val="id-ID"/>
        </w:rPr>
      </w:pPr>
    </w:p>
    <w:p w14:paraId="6A8C919A" w14:textId="0F6A48CC" w:rsidR="004F4003" w:rsidRPr="004F4003" w:rsidRDefault="00121443" w:rsidP="004F4003">
      <w:pPr>
        <w:tabs>
          <w:tab w:val="right" w:pos="8505"/>
        </w:tabs>
        <w:ind w:firstLine="709"/>
        <w:rPr>
          <w:bCs/>
        </w:rPr>
      </w:pPr>
      <m:oMath>
        <m:sSub>
          <m:sSubPr>
            <m:ctrlPr>
              <w:rPr>
                <w:rFonts w:ascii="Cambria Math" w:hAnsi="Cambria Math"/>
                <w:bCs/>
                <w:i/>
                <w:lang w:val="id-ID"/>
              </w:rPr>
            </m:ctrlPr>
          </m:sSubPr>
          <m:e>
            <m:r>
              <w:rPr>
                <w:rFonts w:ascii="Cambria Math" w:hAnsi="Cambria Math"/>
                <w:lang w:val="id-ID"/>
              </w:rPr>
              <m:t>E</m:t>
            </m:r>
          </m:e>
          <m:sub>
            <m:r>
              <w:rPr>
                <w:rFonts w:ascii="Cambria Math" w:hAnsi="Cambria Math"/>
                <w:lang w:val="id-ID"/>
              </w:rPr>
              <m:t>v</m:t>
            </m:r>
          </m:sub>
        </m:sSub>
        <m:r>
          <m:rPr>
            <m:sty m:val="p"/>
          </m:rPr>
          <w:rPr>
            <w:rFonts w:ascii="Cambria Math" w:hAnsi="Cambria Math"/>
            <w:lang w:val="id-ID"/>
          </w:rPr>
          <m:t>-</m:t>
        </m:r>
        <m:r>
          <w:rPr>
            <w:rFonts w:ascii="Cambria Math" w:hAnsi="Cambria Math"/>
            <w:lang w:val="id-ID"/>
          </w:rPr>
          <m:t>E=</m:t>
        </m:r>
        <m:f>
          <m:fPr>
            <m:ctrlPr>
              <w:rPr>
                <w:rFonts w:ascii="Cambria Math" w:hAnsi="Cambria Math"/>
                <w:bCs/>
                <w:lang w:val="id-ID"/>
              </w:rPr>
            </m:ctrlPr>
          </m:fPr>
          <m:num>
            <m:r>
              <w:rPr>
                <w:rFonts w:ascii="Cambria Math" w:hAnsi="Cambria Math"/>
                <w:lang w:val="id-ID"/>
              </w:rPr>
              <m:t>h</m:t>
            </m:r>
          </m:num>
          <m:den>
            <m:r>
              <w:rPr>
                <w:rFonts w:ascii="Cambria Math" w:hAnsi="Cambria Math"/>
                <w:lang w:val="id-ID"/>
              </w:rPr>
              <m:t>2.m</m:t>
            </m:r>
          </m:den>
        </m:f>
        <m:r>
          <w:rPr>
            <w:rFonts w:ascii="Cambria Math" w:hAnsi="Cambria Math"/>
            <w:lang w:val="id-ID"/>
          </w:rPr>
          <m:t xml:space="preserve"> (</m:t>
        </m:r>
        <m:sSubSup>
          <m:sSubSupPr>
            <m:ctrlPr>
              <w:rPr>
                <w:rFonts w:ascii="Cambria Math" w:hAnsi="Cambria Math"/>
                <w:bCs/>
                <w:i/>
                <w:lang w:val="id-ID"/>
              </w:rPr>
            </m:ctrlPr>
          </m:sSubSupPr>
          <m:e>
            <m:r>
              <w:rPr>
                <w:rFonts w:ascii="Cambria Math" w:hAnsi="Cambria Math"/>
                <w:lang w:val="id-ID"/>
              </w:rPr>
              <m:t>k</m:t>
            </m:r>
          </m:e>
          <m:sub>
            <m:r>
              <w:rPr>
                <w:rFonts w:ascii="Cambria Math" w:hAnsi="Cambria Math"/>
                <w:lang w:val="id-ID"/>
              </w:rPr>
              <m:t>x</m:t>
            </m:r>
          </m:sub>
          <m:sup>
            <m:r>
              <w:rPr>
                <w:rFonts w:ascii="Cambria Math" w:hAnsi="Cambria Math"/>
                <w:lang w:val="id-ID"/>
              </w:rPr>
              <m:t>2</m:t>
            </m:r>
          </m:sup>
        </m:sSubSup>
        <m:r>
          <w:rPr>
            <w:rFonts w:ascii="Cambria Math" w:hAnsi="Cambria Math"/>
            <w:lang w:val="id-ID"/>
          </w:rPr>
          <m:t>+</m:t>
        </m:r>
        <m:sSubSup>
          <m:sSubSupPr>
            <m:ctrlPr>
              <w:rPr>
                <w:rFonts w:ascii="Cambria Math" w:hAnsi="Cambria Math"/>
                <w:bCs/>
                <w:i/>
                <w:lang w:val="id-ID"/>
              </w:rPr>
            </m:ctrlPr>
          </m:sSubSupPr>
          <m:e>
            <m:r>
              <w:rPr>
                <w:rFonts w:ascii="Cambria Math" w:hAnsi="Cambria Math"/>
                <w:lang w:val="id-ID"/>
              </w:rPr>
              <m:t>k</m:t>
            </m:r>
          </m:e>
          <m:sub>
            <m:r>
              <w:rPr>
                <w:rFonts w:ascii="Cambria Math" w:hAnsi="Cambria Math"/>
                <w:lang w:val="id-ID"/>
              </w:rPr>
              <m:t>y</m:t>
            </m:r>
          </m:sub>
          <m:sup>
            <m:r>
              <w:rPr>
                <w:rFonts w:ascii="Cambria Math" w:hAnsi="Cambria Math"/>
                <w:lang w:val="id-ID"/>
              </w:rPr>
              <m:t>2</m:t>
            </m:r>
          </m:sup>
        </m:sSubSup>
      </m:oMath>
      <w:r w:rsidR="00E619D6" w:rsidRPr="003D6B19">
        <w:rPr>
          <w:bCs/>
        </w:rPr>
        <w:t>)</w:t>
      </w:r>
      <w:r w:rsidR="00E619D6" w:rsidRPr="003D6B19">
        <w:rPr>
          <w:bCs/>
        </w:rPr>
        <w:tab/>
      </w:r>
      <w:r w:rsidR="00E619D6" w:rsidRPr="00735BBC">
        <w:rPr>
          <w:bCs/>
        </w:rPr>
        <w:t>(1)</w:t>
      </w:r>
    </w:p>
    <w:p w14:paraId="053DC32B" w14:textId="77777777" w:rsidR="00E619D6" w:rsidRPr="003D6B19" w:rsidRDefault="00E619D6" w:rsidP="00E619D6">
      <w:pPr>
        <w:rPr>
          <w:bCs/>
          <w:lang w:val="id-ID"/>
        </w:rPr>
      </w:pPr>
    </w:p>
    <w:p w14:paraId="2D74FFB2" w14:textId="609F99FC" w:rsidR="00E619D6" w:rsidRPr="003D6B19" w:rsidRDefault="00E619D6" w:rsidP="00E619D6">
      <w:pPr>
        <w:rPr>
          <w:bCs/>
          <w:lang w:val="id-ID"/>
        </w:rPr>
      </w:pPr>
      <w:r w:rsidRPr="00735BBC">
        <w:rPr>
          <w:bCs/>
          <w:lang w:val="id-ID"/>
        </w:rPr>
        <w:t>All symbols that</w:t>
      </w:r>
      <w:r w:rsidRPr="003D6B19">
        <w:rPr>
          <w:bCs/>
          <w:lang w:val="id-ID"/>
        </w:rPr>
        <w:t xml:space="preserve"> have</w:t>
      </w:r>
      <w:r w:rsidR="000F703D">
        <w:rPr>
          <w:bCs/>
        </w:rPr>
        <w:t xml:space="preserve"> been</w:t>
      </w:r>
      <w:r w:rsidRPr="003D6B19">
        <w:rPr>
          <w:bCs/>
          <w:lang w:val="id-ID"/>
        </w:rPr>
        <w:t xml:space="preserve"> </w:t>
      </w:r>
      <w:r w:rsidR="000F703D">
        <w:rPr>
          <w:bCs/>
        </w:rPr>
        <w:t>used in the</w:t>
      </w:r>
      <w:r w:rsidRPr="003D6B19">
        <w:rPr>
          <w:bCs/>
          <w:lang w:val="id-ID"/>
        </w:rPr>
        <w:t xml:space="preserve"> equation</w:t>
      </w:r>
      <w:r w:rsidR="000F703D">
        <w:rPr>
          <w:bCs/>
        </w:rPr>
        <w:t>s</w:t>
      </w:r>
      <w:r w:rsidRPr="003D6B19">
        <w:rPr>
          <w:bCs/>
          <w:lang w:val="id-ID"/>
        </w:rPr>
        <w:t xml:space="preserve"> should be </w:t>
      </w:r>
      <w:r w:rsidR="000F703D">
        <w:rPr>
          <w:bCs/>
        </w:rPr>
        <w:t xml:space="preserve">defined </w:t>
      </w:r>
      <w:r w:rsidRPr="003D6B19">
        <w:rPr>
          <w:bCs/>
          <w:lang w:val="id-ID"/>
        </w:rPr>
        <w:t>in the following text.</w:t>
      </w:r>
    </w:p>
    <w:bookmarkEnd w:id="8"/>
    <w:bookmarkEnd w:id="9"/>
    <w:p w14:paraId="7C82168B" w14:textId="77777777" w:rsidR="00E619D6" w:rsidRPr="003D6B19" w:rsidRDefault="00E619D6" w:rsidP="00E619D6">
      <w:pPr>
        <w:rPr>
          <w:b/>
          <w:bCs/>
          <w:lang w:val="id-ID"/>
        </w:rPr>
      </w:pPr>
    </w:p>
    <w:p w14:paraId="25A7CC42" w14:textId="77777777" w:rsidR="00E619D6" w:rsidRPr="003D6B19" w:rsidRDefault="00E619D6" w:rsidP="00E619D6">
      <w:pPr>
        <w:rPr>
          <w:b/>
          <w:bCs/>
          <w:lang w:val="id-ID"/>
        </w:rPr>
      </w:pPr>
      <w:r w:rsidRPr="003D6B19">
        <w:rPr>
          <w:b/>
          <w:bCs/>
          <w:lang w:val="id-ID"/>
        </w:rPr>
        <w:t xml:space="preserve">3.2. </w:t>
      </w:r>
      <w:r w:rsidRPr="003D6B19">
        <w:rPr>
          <w:b/>
          <w:bCs/>
        </w:rPr>
        <w:t xml:space="preserve"> </w:t>
      </w:r>
      <w:r w:rsidRPr="003D6B19">
        <w:rPr>
          <w:b/>
          <w:bCs/>
          <w:lang w:val="id-ID"/>
        </w:rPr>
        <w:t xml:space="preserve">Sub </w:t>
      </w:r>
      <w:r w:rsidRPr="003D6B19">
        <w:rPr>
          <w:b/>
          <w:bCs/>
        </w:rPr>
        <w:t>section</w:t>
      </w:r>
      <w:r w:rsidRPr="003D6B19">
        <w:rPr>
          <w:b/>
          <w:bCs/>
          <w:lang w:val="id-ID"/>
        </w:rPr>
        <w:t xml:space="preserve"> 2</w:t>
      </w:r>
    </w:p>
    <w:p w14:paraId="5703C9AF" w14:textId="59B698A1" w:rsidR="00DD2BCF" w:rsidRPr="000C4FBD" w:rsidRDefault="00E619D6" w:rsidP="00DD2BCF">
      <w:pPr>
        <w:ind w:firstLine="720"/>
        <w:jc w:val="both"/>
        <w:rPr>
          <w:bCs/>
          <w:lang w:val="id-ID"/>
        </w:rPr>
      </w:pPr>
      <w:r w:rsidRPr="003D6B19">
        <w:rPr>
          <w:bCs/>
          <w:lang w:val="id-ID"/>
        </w:rPr>
        <w:t>Proper citation of other works should be made to avoid plagiarism. When referring to a reference</w:t>
      </w:r>
      <w:r w:rsidRPr="003D6B19">
        <w:rPr>
          <w:bCs/>
        </w:rPr>
        <w:t xml:space="preserve"> </w:t>
      </w:r>
      <w:r w:rsidRPr="003D6B19">
        <w:rPr>
          <w:bCs/>
          <w:lang w:val="id-ID"/>
        </w:rPr>
        <w:t xml:space="preserve">item, please use the reference number as </w:t>
      </w:r>
      <w:r w:rsidR="00B149AD" w:rsidRPr="00763C7D">
        <w:rPr>
          <w:bCs/>
          <w:lang w:val="id-ID"/>
        </w:rPr>
        <w:t xml:space="preserve">in </w:t>
      </w:r>
      <w:r w:rsidR="00DD2BCF">
        <w:rPr>
          <w:bCs/>
          <w:lang w:val="id-ID"/>
        </w:rPr>
        <w:fldChar w:fldCharType="begin" w:fldLock="1"/>
      </w:r>
      <w:r w:rsidR="00DD2BCF">
        <w:rPr>
          <w:bCs/>
          <w:lang w:val="id-ID"/>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Pr>
          <w:bCs/>
          <w:lang w:val="id-ID"/>
        </w:rPr>
        <w:fldChar w:fldCharType="separate"/>
      </w:r>
      <w:r w:rsidR="00DD2BCF" w:rsidRPr="004428C8">
        <w:rPr>
          <w:bCs/>
          <w:noProof/>
          <w:lang w:val="id-ID"/>
        </w:rPr>
        <w:t>[16]</w:t>
      </w:r>
      <w:r w:rsidR="00DD2BCF">
        <w:rPr>
          <w:bCs/>
          <w:lang w:val="id-ID"/>
        </w:rPr>
        <w:fldChar w:fldCharType="end"/>
      </w:r>
      <w:r w:rsidR="00DD2BCF" w:rsidRPr="00C06F2A">
        <w:rPr>
          <w:bCs/>
          <w:lang w:val="id-ID"/>
        </w:rPr>
        <w:t xml:space="preserve"> or </w:t>
      </w:r>
      <w:r w:rsidR="00DD2BCF">
        <w:rPr>
          <w:bCs/>
          <w:lang w:val="id-ID"/>
        </w:rPr>
        <w:fldChar w:fldCharType="begin" w:fldLock="1"/>
      </w:r>
      <w:r w:rsidR="00DD2BCF">
        <w:rPr>
          <w:bCs/>
          <w:lang w:val="id-ID"/>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Pr>
          <w:bCs/>
          <w:lang w:val="id-ID"/>
        </w:rPr>
        <w:fldChar w:fldCharType="separate"/>
      </w:r>
      <w:r w:rsidR="00DD2BCF" w:rsidRPr="004428C8">
        <w:rPr>
          <w:bCs/>
          <w:noProof/>
          <w:lang w:val="id-ID"/>
        </w:rPr>
        <w:t>[17]</w:t>
      </w:r>
      <w:r w:rsidR="00DD2BCF">
        <w:rPr>
          <w:bCs/>
          <w:lang w:val="id-ID"/>
        </w:rPr>
        <w:fldChar w:fldCharType="end"/>
      </w:r>
      <w:r w:rsidR="00DD2BCF" w:rsidRPr="00C06F2A">
        <w:rPr>
          <w:bCs/>
          <w:lang w:val="id-ID"/>
        </w:rPr>
        <w:t xml:space="preserve"> </w:t>
      </w:r>
      <w:r w:rsidR="00DD2BCF" w:rsidRPr="000C4FBD">
        <w:rPr>
          <w:bCs/>
          <w:lang w:val="id-ID"/>
        </w:rPr>
        <w:t>for multiple references. The use of ”Ref</w:t>
      </w:r>
      <w:r w:rsidR="00DD2BCF">
        <w:rPr>
          <w:bCs/>
        </w:rPr>
        <w:t xml:space="preserve"> </w:t>
      </w:r>
      <w:r w:rsidR="00DD2BCF">
        <w:rPr>
          <w:bCs/>
        </w:rPr>
        <w:fldChar w:fldCharType="begin" w:fldLock="1"/>
      </w:r>
      <w:r w:rsidR="00DD2BCF">
        <w:rPr>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Pr>
          <w:bCs/>
        </w:rPr>
        <w:fldChar w:fldCharType="separate"/>
      </w:r>
      <w:r w:rsidR="00DD2BCF" w:rsidRPr="004428C8">
        <w:rPr>
          <w:bCs/>
          <w:noProof/>
        </w:rPr>
        <w:t>[18]</w:t>
      </w:r>
      <w:r w:rsidR="00DD2BCF">
        <w:rPr>
          <w:bCs/>
        </w:rPr>
        <w:fldChar w:fldCharType="end"/>
      </w:r>
      <w:r w:rsidR="00DD2BCF" w:rsidRPr="000C4FBD">
        <w:rPr>
          <w:bCs/>
          <w:lang w:val="id-ID"/>
        </w:rPr>
        <w:t>...”</w:t>
      </w:r>
      <w:r w:rsidR="00DD2BCF" w:rsidRPr="000C4FBD">
        <w:rPr>
          <w:bCs/>
        </w:rPr>
        <w:t xml:space="preserve"> </w:t>
      </w:r>
      <w:r w:rsidR="00DD2BCF" w:rsidRPr="000C4FBD">
        <w:rPr>
          <w:bCs/>
          <w:lang w:val="id-ID"/>
        </w:rPr>
        <w:t>should be employed for any reference citation at the beginning of sentence. For any reference with more than</w:t>
      </w:r>
      <w:r w:rsidR="00DD2BCF" w:rsidRPr="000C4FBD">
        <w:rPr>
          <w:bCs/>
        </w:rPr>
        <w:t xml:space="preserve"> </w:t>
      </w:r>
      <w:r w:rsidR="00DD2BCF" w:rsidRPr="000C4FBD">
        <w:rPr>
          <w:bCs/>
          <w:lang w:val="id-ID"/>
        </w:rPr>
        <w:t xml:space="preserve">3 or more authors, only the first author is to be written followed by </w:t>
      </w:r>
      <w:r w:rsidR="00DD2BCF" w:rsidRPr="00960A95">
        <w:rPr>
          <w:bCs/>
          <w:i/>
          <w:iCs/>
          <w:lang w:val="id-ID"/>
        </w:rPr>
        <w:t>et al</w:t>
      </w:r>
      <w:r w:rsidR="00DD2BCF">
        <w:rPr>
          <w:bCs/>
        </w:rPr>
        <w:t>.</w:t>
      </w:r>
      <w:r w:rsidR="00DD2BCF" w:rsidRPr="000C4FBD">
        <w:rPr>
          <w:bCs/>
          <w:lang w:val="id-ID"/>
        </w:rPr>
        <w:t xml:space="preserve"> (e.g. in</w:t>
      </w:r>
      <w:r w:rsidR="00DD2BCF">
        <w:rPr>
          <w:bCs/>
        </w:rPr>
        <w:t xml:space="preserve"> </w:t>
      </w:r>
      <w:r w:rsidR="00DD2BCF">
        <w:rPr>
          <w:bCs/>
        </w:rPr>
        <w:fldChar w:fldCharType="begin" w:fldLock="1"/>
      </w:r>
      <w:r w:rsidR="00DD2BCF">
        <w:rPr>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Pr>
          <w:bCs/>
        </w:rPr>
        <w:fldChar w:fldCharType="separate"/>
      </w:r>
      <w:r w:rsidR="00DD2BCF" w:rsidRPr="004428C8">
        <w:rPr>
          <w:bCs/>
          <w:noProof/>
        </w:rPr>
        <w:t>[19]</w:t>
      </w:r>
      <w:r w:rsidR="00DD2BCF">
        <w:rPr>
          <w:bCs/>
        </w:rPr>
        <w:fldChar w:fldCharType="end"/>
      </w:r>
      <w:r w:rsidR="00DD2BCF" w:rsidRPr="000C4FBD">
        <w:rPr>
          <w:bCs/>
          <w:lang w:val="id-ID"/>
        </w:rPr>
        <w:t>). Examples of reference</w:t>
      </w:r>
      <w:r w:rsidR="00DD2BCF" w:rsidRPr="000C4FBD">
        <w:rPr>
          <w:bCs/>
        </w:rPr>
        <w:t xml:space="preserve"> </w:t>
      </w:r>
      <w:r w:rsidR="00DD2BCF" w:rsidRPr="000C4FBD">
        <w:rPr>
          <w:bCs/>
          <w:lang w:val="id-ID"/>
        </w:rPr>
        <w:t>items of different categories shown in the References section. Each item in the references section should be</w:t>
      </w:r>
      <w:r w:rsidR="00DD2BCF" w:rsidRPr="000C4FBD">
        <w:rPr>
          <w:bCs/>
        </w:rPr>
        <w:t xml:space="preserve"> </w:t>
      </w:r>
      <w:r w:rsidR="00DD2BCF" w:rsidRPr="000C4FBD">
        <w:rPr>
          <w:bCs/>
          <w:lang w:val="id-ID"/>
        </w:rPr>
        <w:t xml:space="preserve">typed using </w:t>
      </w:r>
      <w:r w:rsidR="008D4B71">
        <w:rPr>
          <w:bCs/>
        </w:rPr>
        <w:t>8</w:t>
      </w:r>
      <w:r w:rsidR="00DD2BCF" w:rsidRPr="000C4FBD">
        <w:rPr>
          <w:bCs/>
        </w:rPr>
        <w:t xml:space="preserve"> </w:t>
      </w:r>
      <w:r w:rsidR="00DD2BCF" w:rsidRPr="000C4FBD">
        <w:rPr>
          <w:bCs/>
          <w:lang w:val="id-ID"/>
        </w:rPr>
        <w:t>pt font size</w:t>
      </w:r>
      <w:r w:rsidR="00DD2BCF">
        <w:rPr>
          <w:bCs/>
        </w:rPr>
        <w:t xml:space="preserve"> </w:t>
      </w:r>
      <w:r w:rsidR="00DD2BCF">
        <w:rPr>
          <w:bCs/>
        </w:rPr>
        <w:fldChar w:fldCharType="begin" w:fldLock="1"/>
      </w:r>
      <w:r w:rsidR="00DD2BCF">
        <w:rPr>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Pr>
          <w:bCs/>
        </w:rPr>
        <w:fldChar w:fldCharType="separate"/>
      </w:r>
      <w:r w:rsidR="00DD2BCF" w:rsidRPr="004428C8">
        <w:rPr>
          <w:bCs/>
          <w:noProof/>
        </w:rPr>
        <w:t>[20]–[25]</w:t>
      </w:r>
      <w:r w:rsidR="00DD2BCF">
        <w:rPr>
          <w:bCs/>
        </w:rPr>
        <w:fldChar w:fldCharType="end"/>
      </w:r>
      <w:r w:rsidR="00DD2BCF" w:rsidRPr="000C4FBD">
        <w:rPr>
          <w:bCs/>
          <w:lang w:val="id-ID"/>
        </w:rPr>
        <w:t>.</w:t>
      </w:r>
    </w:p>
    <w:p w14:paraId="740F6FB0" w14:textId="475D14F7" w:rsidR="00E619D6" w:rsidRPr="003D6B19" w:rsidRDefault="00E619D6" w:rsidP="00DD2BCF">
      <w:pPr>
        <w:ind w:firstLine="720"/>
        <w:jc w:val="both"/>
        <w:rPr>
          <w:bCs/>
          <w:lang w:val="id-ID"/>
        </w:rPr>
      </w:pPr>
    </w:p>
    <w:p w14:paraId="0F3CA98D" w14:textId="77777777" w:rsidR="00E619D6" w:rsidRPr="003D6B19" w:rsidRDefault="00E619D6" w:rsidP="00E619D6">
      <w:pPr>
        <w:rPr>
          <w:rStyle w:val="fontstyle21"/>
          <w:rFonts w:ascii="Times New Roman" w:hAnsi="Times New Roman"/>
        </w:rPr>
      </w:pPr>
      <w:r w:rsidRPr="003D6B19">
        <w:rPr>
          <w:rStyle w:val="fontstyle01"/>
          <w:rFonts w:ascii="Times New Roman" w:hAnsi="Times New Roman"/>
        </w:rPr>
        <w:t xml:space="preserve">3.2.1. </w:t>
      </w:r>
      <w:proofErr w:type="spellStart"/>
      <w:r w:rsidRPr="003D6B19">
        <w:rPr>
          <w:rStyle w:val="fontstyle01"/>
          <w:rFonts w:ascii="Times New Roman" w:hAnsi="Times New Roman"/>
        </w:rPr>
        <w:t>Subsub</w:t>
      </w:r>
      <w:proofErr w:type="spellEnd"/>
      <w:r w:rsidRPr="003D6B19">
        <w:rPr>
          <w:rStyle w:val="fontstyle01"/>
          <w:rFonts w:ascii="Times New Roman" w:hAnsi="Times New Roman"/>
        </w:rPr>
        <w:t xml:space="preserve"> section 1</w:t>
      </w:r>
    </w:p>
    <w:p w14:paraId="25414E61" w14:textId="77777777" w:rsidR="00E619D6" w:rsidRPr="003D6B19" w:rsidRDefault="00E619D6" w:rsidP="00E619D6">
      <w:pPr>
        <w:ind w:firstLine="720"/>
        <w:jc w:val="both"/>
        <w:rPr>
          <w:rStyle w:val="fontstyle01"/>
          <w:rFonts w:ascii="Times New Roman" w:hAnsi="Times New Roman"/>
        </w:rPr>
      </w:pPr>
      <w:r w:rsidRPr="003D6B19">
        <w:rPr>
          <w:lang w:val="id-ID"/>
        </w:rPr>
        <w:t>yy</w:t>
      </w:r>
      <w:r w:rsidRPr="003D6B19">
        <w:rPr>
          <w:color w:val="000000"/>
        </w:rPr>
        <w:br/>
      </w:r>
    </w:p>
    <w:p w14:paraId="5568B601" w14:textId="77777777" w:rsidR="00E619D6" w:rsidRPr="003D6B19" w:rsidRDefault="00E619D6" w:rsidP="00E619D6">
      <w:pPr>
        <w:rPr>
          <w:rStyle w:val="fontstyle21"/>
          <w:rFonts w:ascii="Times New Roman" w:hAnsi="Times New Roman"/>
        </w:rPr>
      </w:pPr>
      <w:r w:rsidRPr="003D6B19">
        <w:rPr>
          <w:rStyle w:val="fontstyle01"/>
          <w:rFonts w:ascii="Times New Roman" w:hAnsi="Times New Roman"/>
        </w:rPr>
        <w:t xml:space="preserve">3.2.2. </w:t>
      </w:r>
      <w:proofErr w:type="spellStart"/>
      <w:r w:rsidRPr="003D6B19">
        <w:rPr>
          <w:rStyle w:val="fontstyle01"/>
          <w:rFonts w:ascii="Times New Roman" w:hAnsi="Times New Roman"/>
        </w:rPr>
        <w:t>Subsub</w:t>
      </w:r>
      <w:proofErr w:type="spellEnd"/>
      <w:r w:rsidRPr="003D6B19">
        <w:rPr>
          <w:rStyle w:val="fontstyle01"/>
          <w:rFonts w:ascii="Times New Roman" w:hAnsi="Times New Roman"/>
        </w:rPr>
        <w:t xml:space="preserve"> section 2</w:t>
      </w:r>
    </w:p>
    <w:p w14:paraId="2D1B2B3E" w14:textId="77777777" w:rsidR="00E619D6" w:rsidRPr="003D6B19" w:rsidRDefault="00E619D6" w:rsidP="00E619D6">
      <w:pPr>
        <w:ind w:firstLine="720"/>
        <w:jc w:val="both"/>
        <w:rPr>
          <w:b/>
          <w:bCs/>
        </w:rPr>
      </w:pPr>
      <w:proofErr w:type="spellStart"/>
      <w:r w:rsidRPr="003D6B19">
        <w:t>zz</w:t>
      </w:r>
      <w:proofErr w:type="spellEnd"/>
    </w:p>
    <w:p w14:paraId="0656AC10" w14:textId="77777777" w:rsidR="00E619D6" w:rsidRPr="003D6B19" w:rsidRDefault="00E619D6" w:rsidP="00E619D6">
      <w:pPr>
        <w:rPr>
          <w:lang w:val="id-ID"/>
        </w:rPr>
      </w:pPr>
    </w:p>
    <w:p w14:paraId="4613A0AD" w14:textId="77777777" w:rsidR="00E619D6" w:rsidRPr="003D6B19" w:rsidRDefault="00E619D6" w:rsidP="00E619D6">
      <w:pPr>
        <w:rPr>
          <w:lang w:val="id-ID"/>
        </w:rPr>
      </w:pPr>
    </w:p>
    <w:p w14:paraId="7A07F5E5" w14:textId="77777777" w:rsidR="00E619D6" w:rsidRPr="003D6B19" w:rsidRDefault="00E619D6" w:rsidP="00E619D6">
      <w:pPr>
        <w:numPr>
          <w:ilvl w:val="0"/>
          <w:numId w:val="15"/>
        </w:numPr>
        <w:tabs>
          <w:tab w:val="left" w:pos="426"/>
        </w:tabs>
        <w:ind w:left="426" w:hanging="426"/>
        <w:rPr>
          <w:b/>
          <w:bCs/>
          <w:lang w:val="id-ID"/>
        </w:rPr>
      </w:pPr>
      <w:r w:rsidRPr="003D6B19">
        <w:rPr>
          <w:b/>
          <w:bCs/>
          <w:lang w:val="id-ID"/>
        </w:rPr>
        <w:t>CONCLUSION</w:t>
      </w:r>
      <w:r w:rsidRPr="003D6B19">
        <w:rPr>
          <w:b/>
          <w:bCs/>
        </w:rPr>
        <w:t xml:space="preserve"> (10 PT)</w:t>
      </w:r>
    </w:p>
    <w:p w14:paraId="7A7E94F0" w14:textId="721498D8" w:rsidR="00E619D6" w:rsidRPr="003D6B19" w:rsidRDefault="00E619D6" w:rsidP="00354A58">
      <w:pPr>
        <w:ind w:firstLine="709"/>
        <w:jc w:val="both"/>
        <w:rPr>
          <w:lang w:val="id-ID"/>
        </w:rPr>
      </w:pPr>
      <w:r w:rsidRPr="003D6B19">
        <w:rPr>
          <w:lang w:val="id-ID"/>
        </w:rPr>
        <w:t xml:space="preserve">Provide </w:t>
      </w:r>
      <w:r w:rsidR="00354A58" w:rsidRPr="003D6B19">
        <w:rPr>
          <w:lang w:val="id-ID"/>
        </w:rPr>
        <w:t xml:space="preserve">a statement that what is expected, as stated in the "INTRODUCTION" </w:t>
      </w:r>
      <w:r w:rsidR="00354A58" w:rsidRPr="003D6B19">
        <w:t>section</w:t>
      </w:r>
      <w:r w:rsidR="00354A58" w:rsidRPr="003D6B19">
        <w:rPr>
          <w:lang w:val="id-ID"/>
        </w:rPr>
        <w:t xml:space="preserve"> can ultimately result in "RESULTS AND DISCUSSION" </w:t>
      </w:r>
      <w:r w:rsidR="00354A58" w:rsidRPr="003D6B19">
        <w:t>section</w:t>
      </w:r>
      <w:r w:rsidR="00354A58" w:rsidRPr="003D6B19">
        <w:rPr>
          <w:lang w:val="id-ID"/>
        </w:rPr>
        <w:t>, so there is compatibility. Moreover, it can also be added the prospect of the development of research results and application prospects of further studies into the next (based on result and discussion).</w:t>
      </w:r>
    </w:p>
    <w:p w14:paraId="1B388F68" w14:textId="77777777" w:rsidR="00354A58" w:rsidRPr="003D6B19" w:rsidRDefault="00354A58" w:rsidP="00354A58">
      <w:pPr>
        <w:ind w:firstLine="709"/>
        <w:jc w:val="both"/>
        <w:rPr>
          <w:b/>
          <w:bCs/>
        </w:rPr>
      </w:pPr>
    </w:p>
    <w:p w14:paraId="6524B611" w14:textId="77777777" w:rsidR="00E619D6" w:rsidRPr="003D6B19" w:rsidRDefault="00E619D6" w:rsidP="00E619D6">
      <w:pPr>
        <w:rPr>
          <w:b/>
          <w:bCs/>
        </w:rPr>
      </w:pPr>
    </w:p>
    <w:p w14:paraId="4C69A62F" w14:textId="77777777" w:rsidR="00E619D6" w:rsidRPr="003D6B19" w:rsidRDefault="00E619D6" w:rsidP="00E619D6">
      <w:pPr>
        <w:rPr>
          <w:rStyle w:val="apple-style-span"/>
          <w:b/>
          <w:color w:val="000000"/>
          <w:lang w:val="pt-BR"/>
        </w:rPr>
      </w:pPr>
      <w:r w:rsidRPr="003D6B19">
        <w:rPr>
          <w:rStyle w:val="apple-style-span"/>
          <w:b/>
          <w:color w:val="000000"/>
          <w:lang w:val="pt-BR"/>
        </w:rPr>
        <w:t xml:space="preserve">ACKNOWLEDGEMENTS </w:t>
      </w:r>
      <w:r w:rsidRPr="003D6B19">
        <w:rPr>
          <w:b/>
          <w:bCs/>
        </w:rPr>
        <w:t>(10 PT)</w:t>
      </w:r>
    </w:p>
    <w:p w14:paraId="54AE7F84" w14:textId="331FB080" w:rsidR="00354A58" w:rsidRPr="003D6B19" w:rsidRDefault="00E94443" w:rsidP="00354A58">
      <w:pPr>
        <w:ind w:firstLine="720"/>
        <w:jc w:val="both"/>
        <w:rPr>
          <w:rStyle w:val="apple-style-span"/>
          <w:bCs/>
          <w:color w:val="000000"/>
          <w:lang w:val="pt-BR"/>
        </w:rPr>
      </w:pPr>
      <w:bookmarkStart w:id="10" w:name="_Hlk78354940"/>
      <w:r w:rsidRPr="00735BBC">
        <w:t>Author</w:t>
      </w:r>
      <w:r w:rsidRPr="00E94443">
        <w:t xml:space="preserve"> thanks </w:t>
      </w:r>
      <w:proofErr w:type="gramStart"/>
      <w:r w:rsidRPr="00E94443">
        <w:t xml:space="preserve">... </w:t>
      </w:r>
      <w:r>
        <w:t>.</w:t>
      </w:r>
      <w:proofErr w:type="gramEnd"/>
      <w:r w:rsidRPr="00E94443">
        <w:t xml:space="preserve"> In most cases, sponsor and financial support acknowledgments</w:t>
      </w:r>
      <w:r>
        <w:t>.</w:t>
      </w:r>
    </w:p>
    <w:bookmarkEnd w:id="10"/>
    <w:p w14:paraId="3B8CC628" w14:textId="455ED99F" w:rsidR="00E619D6" w:rsidRPr="003D6B19" w:rsidRDefault="00E619D6" w:rsidP="00354A58">
      <w:pPr>
        <w:ind w:firstLine="720"/>
        <w:jc w:val="both"/>
        <w:rPr>
          <w:rStyle w:val="apple-style-span"/>
          <w:bCs/>
          <w:color w:val="000000"/>
          <w:lang w:val="pt-BR"/>
        </w:rPr>
      </w:pPr>
    </w:p>
    <w:p w14:paraId="229ACC24" w14:textId="77777777" w:rsidR="00E619D6" w:rsidRPr="003D6B19" w:rsidRDefault="00E619D6" w:rsidP="00E619D6">
      <w:pPr>
        <w:rPr>
          <w:rStyle w:val="apple-style-span"/>
          <w:bCs/>
          <w:color w:val="000000"/>
          <w:lang w:val="pt-BR"/>
        </w:rPr>
      </w:pPr>
    </w:p>
    <w:p w14:paraId="2796523A" w14:textId="77777777" w:rsidR="00E619D6" w:rsidRPr="003D6B19" w:rsidRDefault="00E619D6" w:rsidP="00E619D6">
      <w:pPr>
        <w:rPr>
          <w:color w:val="000000"/>
          <w:lang w:val="pt-BR"/>
        </w:rPr>
      </w:pPr>
      <w:r w:rsidRPr="003D6B19">
        <w:rPr>
          <w:rStyle w:val="apple-style-span"/>
          <w:b/>
          <w:color w:val="000000"/>
          <w:lang w:val="pt-BR"/>
        </w:rPr>
        <w:t xml:space="preserve">REFERENCES </w:t>
      </w:r>
      <w:r w:rsidRPr="003D6B19">
        <w:rPr>
          <w:b/>
          <w:bCs/>
        </w:rPr>
        <w:t>(10 PT)</w:t>
      </w:r>
    </w:p>
    <w:p w14:paraId="5CC86304" w14:textId="77777777" w:rsidR="00A3788A" w:rsidRPr="00800BFC" w:rsidRDefault="00A3788A" w:rsidP="00A3788A">
      <w:pPr>
        <w:ind w:firstLine="720"/>
        <w:jc w:val="both"/>
        <w:rPr>
          <w:sz w:val="16"/>
          <w:szCs w:val="16"/>
        </w:rPr>
      </w:pPr>
      <w:bookmarkStart w:id="11" w:name="_Hlk78354957"/>
      <w:bookmarkStart w:id="12" w:name="_Hlk80021798"/>
      <w:r w:rsidRPr="00800BFC">
        <w:rPr>
          <w:color w:val="000000"/>
          <w:sz w:val="16"/>
          <w:szCs w:val="16"/>
        </w:rPr>
        <w:t xml:space="preserve">The main references are </w:t>
      </w:r>
      <w:r w:rsidRPr="00800BFC">
        <w:rPr>
          <w:sz w:val="16"/>
          <w:szCs w:val="16"/>
        </w:rPr>
        <w:t>international</w:t>
      </w:r>
      <w:r w:rsidRPr="00800BFC">
        <w:rPr>
          <w:color w:val="000000"/>
          <w:sz w:val="16"/>
          <w:szCs w:val="16"/>
        </w:rPr>
        <w:t xml:space="preserve"> journals and proceedings. All references should be to the most pertinent, up-to-date sources </w:t>
      </w:r>
      <w:r w:rsidRPr="00800BFC">
        <w:rPr>
          <w:b/>
          <w:bCs/>
          <w:color w:val="000000"/>
          <w:sz w:val="16"/>
          <w:szCs w:val="16"/>
        </w:rPr>
        <w:t xml:space="preserve">and the </w:t>
      </w:r>
      <w:r w:rsidRPr="00800BFC">
        <w:rPr>
          <w:b/>
          <w:bCs/>
          <w:sz w:val="16"/>
          <w:szCs w:val="16"/>
        </w:rPr>
        <w:t xml:space="preserve">minimum of references </w:t>
      </w:r>
      <w:r w:rsidRPr="00800BFC">
        <w:rPr>
          <w:sz w:val="16"/>
          <w:szCs w:val="16"/>
        </w:rPr>
        <w:t xml:space="preserve">are </w:t>
      </w:r>
      <w:r w:rsidRPr="00800BFC">
        <w:rPr>
          <w:b/>
          <w:bCs/>
          <w:sz w:val="16"/>
          <w:szCs w:val="16"/>
        </w:rPr>
        <w:t xml:space="preserve">25 entries </w:t>
      </w:r>
      <w:r w:rsidRPr="00800BFC">
        <w:rPr>
          <w:sz w:val="16"/>
          <w:szCs w:val="16"/>
        </w:rPr>
        <w:t>(for original research paper)</w:t>
      </w:r>
      <w:r w:rsidRPr="00800BFC">
        <w:rPr>
          <w:b/>
          <w:bCs/>
          <w:sz w:val="16"/>
          <w:szCs w:val="16"/>
        </w:rPr>
        <w:t xml:space="preserve"> </w:t>
      </w:r>
      <w:r w:rsidRPr="00800BFC">
        <w:rPr>
          <w:sz w:val="16"/>
          <w:szCs w:val="16"/>
        </w:rPr>
        <w:t xml:space="preserve">and </w:t>
      </w:r>
      <w:r w:rsidRPr="00800BFC">
        <w:rPr>
          <w:b/>
          <w:bCs/>
          <w:sz w:val="16"/>
          <w:szCs w:val="16"/>
        </w:rPr>
        <w:t xml:space="preserve">50 entries </w:t>
      </w:r>
      <w:r w:rsidRPr="00800BFC">
        <w:rPr>
          <w:sz w:val="16"/>
          <w:szCs w:val="16"/>
        </w:rPr>
        <w:t xml:space="preserve">(for review/survey paper). References are written in </w:t>
      </w:r>
      <w:r w:rsidRPr="00800BFC">
        <w:rPr>
          <w:b/>
          <w:bCs/>
          <w:sz w:val="16"/>
          <w:szCs w:val="16"/>
        </w:rPr>
        <w:t>IEEE style</w:t>
      </w:r>
      <w:r w:rsidRPr="00800BFC">
        <w:rPr>
          <w:sz w:val="16"/>
          <w:szCs w:val="16"/>
        </w:rPr>
        <w:t xml:space="preserve">. For more complete guide can be accessed at (http://ipmuonline.com/guide/refstyle.pdf). Use of a tool such as </w:t>
      </w:r>
      <w:r w:rsidRPr="00800BFC">
        <w:rPr>
          <w:b/>
          <w:bCs/>
          <w:sz w:val="16"/>
          <w:szCs w:val="16"/>
        </w:rPr>
        <w:t>EndNote</w:t>
      </w:r>
      <w:r w:rsidRPr="00800BFC">
        <w:rPr>
          <w:sz w:val="16"/>
          <w:szCs w:val="16"/>
        </w:rPr>
        <w:t xml:space="preserve">, </w:t>
      </w:r>
      <w:r w:rsidRPr="00800BFC">
        <w:rPr>
          <w:b/>
          <w:bCs/>
          <w:sz w:val="16"/>
          <w:szCs w:val="16"/>
        </w:rPr>
        <w:t>Mendeley</w:t>
      </w:r>
      <w:r w:rsidRPr="00800BFC">
        <w:rPr>
          <w:sz w:val="16"/>
          <w:szCs w:val="16"/>
        </w:rPr>
        <w:t xml:space="preserve">, or </w:t>
      </w:r>
      <w:r w:rsidRPr="00800BFC">
        <w:rPr>
          <w:b/>
          <w:bCs/>
          <w:sz w:val="16"/>
          <w:szCs w:val="16"/>
        </w:rPr>
        <w:t>Zotero</w:t>
      </w:r>
      <w:r w:rsidRPr="00800BFC">
        <w:rPr>
          <w:sz w:val="16"/>
          <w:szCs w:val="16"/>
        </w:rPr>
        <w:t xml:space="preserve"> for reference management and formatting, and choose </w:t>
      </w:r>
      <w:r w:rsidRPr="00800BFC">
        <w:rPr>
          <w:b/>
          <w:bCs/>
          <w:sz w:val="16"/>
          <w:szCs w:val="16"/>
        </w:rPr>
        <w:t>IEEE style</w:t>
      </w:r>
      <w:r w:rsidRPr="00800BFC">
        <w:rPr>
          <w:sz w:val="16"/>
          <w:szCs w:val="16"/>
        </w:rPr>
        <w:t xml:space="preserve">. </w:t>
      </w:r>
      <w:r w:rsidRPr="00800BFC">
        <w:rPr>
          <w:iCs/>
          <w:sz w:val="16"/>
          <w:szCs w:val="16"/>
        </w:rPr>
        <w:t>Please use</w:t>
      </w:r>
      <w:r w:rsidRPr="00800BFC">
        <w:rPr>
          <w:sz w:val="16"/>
          <w:szCs w:val="16"/>
        </w:rPr>
        <w:t xml:space="preserve"> a consistent format for </w:t>
      </w:r>
      <w:r w:rsidRPr="00800BFC">
        <w:rPr>
          <w:iCs/>
          <w:sz w:val="16"/>
          <w:szCs w:val="16"/>
        </w:rPr>
        <w:t>references-</w:t>
      </w:r>
      <w:r w:rsidRPr="00800BFC">
        <w:rPr>
          <w:sz w:val="16"/>
          <w:szCs w:val="16"/>
        </w:rPr>
        <w:t xml:space="preserve">see examples (8 </w:t>
      </w:r>
      <w:proofErr w:type="spellStart"/>
      <w:r w:rsidRPr="00800BFC">
        <w:rPr>
          <w:sz w:val="16"/>
          <w:szCs w:val="16"/>
        </w:rPr>
        <w:t>pt</w:t>
      </w:r>
      <w:proofErr w:type="spellEnd"/>
      <w:r w:rsidRPr="00800BFC">
        <w:rPr>
          <w:sz w:val="16"/>
          <w:szCs w:val="16"/>
        </w:rPr>
        <w:t>):</w:t>
      </w:r>
    </w:p>
    <w:p w14:paraId="0E8B8678" w14:textId="77777777" w:rsidR="00A3788A" w:rsidRPr="002215FE" w:rsidRDefault="00A3788A" w:rsidP="00A3788A">
      <w:pPr>
        <w:jc w:val="both"/>
        <w:rPr>
          <w:color w:val="000000"/>
        </w:rPr>
      </w:pPr>
      <w:bookmarkStart w:id="13" w:name="_Hlk80002086"/>
      <w:bookmarkEnd w:id="11"/>
    </w:p>
    <w:p w14:paraId="19B2604B" w14:textId="77777777" w:rsidR="00A3788A" w:rsidRPr="003D6B19" w:rsidRDefault="00A3788A" w:rsidP="00A3788A">
      <w:pPr>
        <w:pStyle w:val="ListParagraph"/>
        <w:numPr>
          <w:ilvl w:val="0"/>
          <w:numId w:val="20"/>
        </w:numPr>
        <w:spacing w:after="0" w:line="240" w:lineRule="auto"/>
        <w:ind w:left="426" w:hanging="426"/>
        <w:jc w:val="both"/>
        <w:rPr>
          <w:rFonts w:ascii="Times New Roman" w:hAnsi="Times New Roman"/>
          <w:b/>
          <w:bCs/>
          <w:sz w:val="18"/>
          <w:szCs w:val="18"/>
        </w:rPr>
      </w:pPr>
      <w:bookmarkStart w:id="14" w:name="_Hlk65223902"/>
      <w:bookmarkStart w:id="15" w:name="_Hlk80001145"/>
      <w:r w:rsidRPr="003D6B19">
        <w:rPr>
          <w:rFonts w:ascii="Times New Roman" w:hAnsi="Times New Roman"/>
          <w:b/>
          <w:bCs/>
          <w:sz w:val="18"/>
          <w:szCs w:val="18"/>
        </w:rPr>
        <w:t>Journal/Periodicals</w:t>
      </w:r>
    </w:p>
    <w:p w14:paraId="6B24E7A6" w14:textId="77777777" w:rsidR="00A3788A" w:rsidRPr="00213B7B" w:rsidRDefault="00A3788A" w:rsidP="00A3788A">
      <w:pPr>
        <w:pStyle w:val="Default"/>
        <w:jc w:val="both"/>
        <w:rPr>
          <w:rFonts w:cs="Times New Roman"/>
          <w:sz w:val="16"/>
          <w:szCs w:val="16"/>
        </w:rPr>
      </w:pPr>
      <w:r w:rsidRPr="00213B7B">
        <w:rPr>
          <w:rFonts w:cs="Times New Roman"/>
          <w:i/>
          <w:iCs/>
          <w:sz w:val="16"/>
          <w:szCs w:val="16"/>
        </w:rPr>
        <w:t xml:space="preserve">Basic Format: </w:t>
      </w:r>
    </w:p>
    <w:p w14:paraId="01D7B34F" w14:textId="77777777" w:rsidR="00A3788A" w:rsidRPr="00213B7B" w:rsidRDefault="00A3788A" w:rsidP="00A3788A">
      <w:pPr>
        <w:autoSpaceDE w:val="0"/>
        <w:autoSpaceDN w:val="0"/>
        <w:adjustRightInd w:val="0"/>
        <w:jc w:val="both"/>
        <w:rPr>
          <w:color w:val="000000"/>
          <w:sz w:val="16"/>
          <w:szCs w:val="16"/>
        </w:rPr>
      </w:pPr>
      <w:r w:rsidRPr="00213B7B">
        <w:rPr>
          <w:color w:val="000000"/>
          <w:sz w:val="16"/>
          <w:szCs w:val="16"/>
        </w:rPr>
        <w:t xml:space="preserve">J. K. Author, “Title of paper,” </w:t>
      </w:r>
      <w:r w:rsidRPr="00213B7B">
        <w:rPr>
          <w:i/>
          <w:iCs/>
          <w:color w:val="000000"/>
          <w:sz w:val="16"/>
          <w:szCs w:val="16"/>
        </w:rPr>
        <w:t>Abbrev. Title of Journal/Periodical</w:t>
      </w:r>
      <w:r w:rsidRPr="00213B7B">
        <w:rPr>
          <w:color w:val="000000"/>
          <w:sz w:val="16"/>
          <w:szCs w:val="16"/>
        </w:rPr>
        <w:t xml:space="preserve">, vol. </w:t>
      </w:r>
      <w:r w:rsidRPr="00213B7B">
        <w:rPr>
          <w:i/>
          <w:iCs/>
          <w:color w:val="000000"/>
          <w:sz w:val="16"/>
          <w:szCs w:val="16"/>
        </w:rPr>
        <w:t xml:space="preserve">x, </w:t>
      </w:r>
      <w:r w:rsidRPr="00213B7B">
        <w:rPr>
          <w:color w:val="000000"/>
          <w:sz w:val="16"/>
          <w:szCs w:val="16"/>
        </w:rPr>
        <w:t xml:space="preserve">no. </w:t>
      </w:r>
      <w:r w:rsidRPr="00213B7B">
        <w:rPr>
          <w:i/>
          <w:iCs/>
          <w:color w:val="000000"/>
          <w:sz w:val="16"/>
          <w:szCs w:val="16"/>
        </w:rPr>
        <w:t xml:space="preserve">x, </w:t>
      </w:r>
      <w:r w:rsidRPr="00213B7B">
        <w:rPr>
          <w:color w:val="000000"/>
          <w:sz w:val="16"/>
          <w:szCs w:val="16"/>
        </w:rPr>
        <w:t>pp</w:t>
      </w:r>
      <w:r w:rsidRPr="00213B7B">
        <w:rPr>
          <w:i/>
          <w:iCs/>
          <w:color w:val="000000"/>
          <w:sz w:val="16"/>
          <w:szCs w:val="16"/>
        </w:rPr>
        <w:t xml:space="preserve">. xxx-xxx, </w:t>
      </w:r>
      <w:r w:rsidRPr="00213B7B">
        <w:rPr>
          <w:color w:val="000000"/>
          <w:sz w:val="16"/>
          <w:szCs w:val="16"/>
        </w:rPr>
        <w:t xml:space="preserve">Abbrev. Month, year, </w:t>
      </w:r>
      <w:proofErr w:type="spellStart"/>
      <w:r w:rsidRPr="00213B7B">
        <w:rPr>
          <w:color w:val="000000"/>
          <w:sz w:val="16"/>
          <w:szCs w:val="16"/>
        </w:rPr>
        <w:t>doi</w:t>
      </w:r>
      <w:proofErr w:type="spellEnd"/>
      <w:r w:rsidRPr="00213B7B">
        <w:rPr>
          <w:color w:val="000000"/>
          <w:sz w:val="16"/>
          <w:szCs w:val="16"/>
        </w:rPr>
        <w:t xml:space="preserve">: </w:t>
      </w:r>
      <w:r w:rsidRPr="00213B7B">
        <w:rPr>
          <w:i/>
          <w:iCs/>
          <w:color w:val="000000"/>
          <w:sz w:val="16"/>
          <w:szCs w:val="16"/>
        </w:rPr>
        <w:t>xxx</w:t>
      </w:r>
      <w:r w:rsidRPr="00213B7B">
        <w:rPr>
          <w:color w:val="000000"/>
          <w:sz w:val="16"/>
          <w:szCs w:val="16"/>
        </w:rPr>
        <w:t xml:space="preserve">. </w:t>
      </w:r>
    </w:p>
    <w:p w14:paraId="4B0695AC" w14:textId="77777777" w:rsidR="00A3788A" w:rsidRPr="00213B7B" w:rsidRDefault="00A3788A" w:rsidP="00A3788A">
      <w:pPr>
        <w:pStyle w:val="Default"/>
        <w:jc w:val="both"/>
        <w:rPr>
          <w:rFonts w:cs="Times New Roman"/>
          <w:color w:val="212121"/>
          <w:sz w:val="16"/>
          <w:szCs w:val="16"/>
        </w:rPr>
      </w:pPr>
      <w:r w:rsidRPr="00213B7B">
        <w:rPr>
          <w:rFonts w:cs="Times New Roman"/>
          <w:i/>
          <w:iCs/>
          <w:color w:val="212121"/>
          <w:sz w:val="16"/>
          <w:szCs w:val="16"/>
        </w:rPr>
        <w:t xml:space="preserve">Examples: </w:t>
      </w:r>
    </w:p>
    <w:bookmarkEnd w:id="14"/>
    <w:p w14:paraId="56A8B543" w14:textId="77777777" w:rsidR="00A3788A" w:rsidRPr="00F902B7" w:rsidRDefault="00A3788A" w:rsidP="00A3788A">
      <w:pPr>
        <w:pStyle w:val="Default"/>
        <w:numPr>
          <w:ilvl w:val="0"/>
          <w:numId w:val="21"/>
        </w:numPr>
        <w:ind w:left="426"/>
        <w:jc w:val="both"/>
        <w:rPr>
          <w:rFonts w:cs="Times New Roman"/>
          <w:sz w:val="16"/>
          <w:szCs w:val="16"/>
        </w:rPr>
      </w:pPr>
      <w:r w:rsidRPr="00F902B7">
        <w:rPr>
          <w:rFonts w:cs="Times New Roman"/>
          <w:sz w:val="16"/>
          <w:szCs w:val="16"/>
        </w:rPr>
        <w:t xml:space="preserve">M. M. </w:t>
      </w:r>
      <w:proofErr w:type="spellStart"/>
      <w:r w:rsidRPr="00F902B7">
        <w:rPr>
          <w:rFonts w:cs="Times New Roman"/>
          <w:sz w:val="16"/>
          <w:szCs w:val="16"/>
        </w:rPr>
        <w:t>Chiampi</w:t>
      </w:r>
      <w:proofErr w:type="spellEnd"/>
      <w:r w:rsidRPr="00F902B7">
        <w:rPr>
          <w:rFonts w:cs="Times New Roman"/>
          <w:sz w:val="16"/>
          <w:szCs w:val="16"/>
        </w:rPr>
        <w:t xml:space="preserve"> and L. L. </w:t>
      </w:r>
      <w:proofErr w:type="spellStart"/>
      <w:r w:rsidRPr="00F902B7">
        <w:rPr>
          <w:rFonts w:cs="Times New Roman"/>
          <w:sz w:val="16"/>
          <w:szCs w:val="16"/>
        </w:rPr>
        <w:t>Zilberti</w:t>
      </w:r>
      <w:proofErr w:type="spellEnd"/>
      <w:r w:rsidRPr="00F902B7">
        <w:rPr>
          <w:rFonts w:cs="Times New Roman"/>
          <w:sz w:val="16"/>
          <w:szCs w:val="16"/>
        </w:rPr>
        <w:t xml:space="preserve">, “Induction of electric field in human bodies moving near MRI: An efficient BEM computational procedure,” </w:t>
      </w:r>
      <w:r w:rsidRPr="00F902B7">
        <w:rPr>
          <w:rFonts w:cs="Times New Roman"/>
          <w:i/>
          <w:iCs/>
          <w:sz w:val="16"/>
          <w:szCs w:val="16"/>
        </w:rPr>
        <w:t>IEEE Trans. Biomed. Eng.</w:t>
      </w:r>
      <w:r w:rsidRPr="00F902B7">
        <w:rPr>
          <w:rFonts w:cs="Times New Roman"/>
          <w:sz w:val="16"/>
          <w:szCs w:val="16"/>
        </w:rPr>
        <w:t xml:space="preserve">, vol. 58, pp. 2787–2793, Oct. 2011, </w:t>
      </w:r>
      <w:proofErr w:type="spellStart"/>
      <w:r w:rsidRPr="00F902B7">
        <w:rPr>
          <w:rFonts w:cs="Times New Roman"/>
          <w:sz w:val="16"/>
          <w:szCs w:val="16"/>
        </w:rPr>
        <w:t>doi</w:t>
      </w:r>
      <w:proofErr w:type="spellEnd"/>
      <w:r w:rsidRPr="00F902B7">
        <w:rPr>
          <w:rFonts w:cs="Times New Roman"/>
          <w:sz w:val="16"/>
          <w:szCs w:val="16"/>
        </w:rPr>
        <w:t xml:space="preserve">: 10.1109/TBME.2011.2158315. </w:t>
      </w:r>
    </w:p>
    <w:p w14:paraId="213EAAA7" w14:textId="77777777" w:rsidR="00A3788A" w:rsidRPr="00F902B7" w:rsidRDefault="00A3788A" w:rsidP="00A3788A">
      <w:pPr>
        <w:pStyle w:val="Default"/>
        <w:numPr>
          <w:ilvl w:val="0"/>
          <w:numId w:val="21"/>
        </w:numPr>
        <w:ind w:left="426"/>
        <w:jc w:val="both"/>
        <w:rPr>
          <w:rFonts w:cs="Times New Roman"/>
          <w:sz w:val="16"/>
          <w:szCs w:val="16"/>
        </w:rPr>
      </w:pPr>
      <w:r w:rsidRPr="00F902B7">
        <w:rPr>
          <w:rFonts w:cs="Times New Roman"/>
          <w:sz w:val="16"/>
          <w:szCs w:val="16"/>
        </w:rPr>
        <w:t xml:space="preserve">R. Fardel, M. Nagel, F. </w:t>
      </w:r>
      <w:proofErr w:type="spellStart"/>
      <w:r w:rsidRPr="00F902B7">
        <w:rPr>
          <w:rFonts w:cs="Times New Roman"/>
          <w:sz w:val="16"/>
          <w:szCs w:val="16"/>
        </w:rPr>
        <w:t>Nuesch</w:t>
      </w:r>
      <w:proofErr w:type="spellEnd"/>
      <w:r w:rsidRPr="00F902B7">
        <w:rPr>
          <w:rFonts w:cs="Times New Roman"/>
          <w:sz w:val="16"/>
          <w:szCs w:val="16"/>
        </w:rPr>
        <w:t xml:space="preserve">, T. Lippert, and A. </w:t>
      </w:r>
      <w:proofErr w:type="spellStart"/>
      <w:r w:rsidRPr="00F902B7">
        <w:rPr>
          <w:rFonts w:cs="Times New Roman"/>
          <w:sz w:val="16"/>
          <w:szCs w:val="16"/>
        </w:rPr>
        <w:t>Wokaun</w:t>
      </w:r>
      <w:proofErr w:type="spellEnd"/>
      <w:r w:rsidRPr="00F902B7">
        <w:rPr>
          <w:rFonts w:cs="Times New Roman"/>
          <w:sz w:val="16"/>
          <w:szCs w:val="16"/>
        </w:rPr>
        <w:t xml:space="preserve">, “Fabrication of organic light emitting diode pixels by laser-assisted </w:t>
      </w:r>
      <w:r w:rsidRPr="00F902B7">
        <w:rPr>
          <w:rFonts w:cs="Times New Roman"/>
          <w:sz w:val="16"/>
          <w:szCs w:val="16"/>
        </w:rPr>
        <w:lastRenderedPageBreak/>
        <w:t xml:space="preserve">forward transfer,” </w:t>
      </w:r>
      <w:r w:rsidRPr="00F902B7">
        <w:rPr>
          <w:rFonts w:cs="Times New Roman"/>
          <w:i/>
          <w:iCs/>
          <w:sz w:val="16"/>
          <w:szCs w:val="16"/>
        </w:rPr>
        <w:t>Appl. Phys. Lett.</w:t>
      </w:r>
      <w:r w:rsidRPr="00F902B7">
        <w:rPr>
          <w:rFonts w:cs="Times New Roman"/>
          <w:sz w:val="16"/>
          <w:szCs w:val="16"/>
        </w:rPr>
        <w:t xml:space="preserve">, vol. 91, no. 6, Aug. 2007, Art. no. 061103, </w:t>
      </w:r>
      <w:proofErr w:type="spellStart"/>
      <w:r w:rsidRPr="00F902B7">
        <w:rPr>
          <w:rFonts w:cs="Times New Roman"/>
          <w:sz w:val="16"/>
          <w:szCs w:val="16"/>
        </w:rPr>
        <w:t>doi</w:t>
      </w:r>
      <w:proofErr w:type="spellEnd"/>
      <w:r w:rsidRPr="00F902B7">
        <w:rPr>
          <w:rFonts w:cs="Times New Roman"/>
          <w:sz w:val="16"/>
          <w:szCs w:val="16"/>
        </w:rPr>
        <w:t xml:space="preserve">: 10.1063/1.2759475. </w:t>
      </w:r>
    </w:p>
    <w:p w14:paraId="7C257DF0" w14:textId="77777777" w:rsidR="00A3788A" w:rsidRPr="003D6B19" w:rsidRDefault="00A3788A" w:rsidP="00A3788A">
      <w:pPr>
        <w:pStyle w:val="ListParagraph"/>
        <w:numPr>
          <w:ilvl w:val="0"/>
          <w:numId w:val="20"/>
        </w:numPr>
        <w:spacing w:after="0" w:line="240" w:lineRule="auto"/>
        <w:ind w:left="426" w:hanging="426"/>
        <w:jc w:val="both"/>
        <w:rPr>
          <w:rFonts w:ascii="Times New Roman" w:hAnsi="Times New Roman"/>
          <w:color w:val="000000"/>
          <w:sz w:val="18"/>
          <w:szCs w:val="18"/>
        </w:rPr>
      </w:pPr>
      <w:r w:rsidRPr="003D6B19">
        <w:rPr>
          <w:rFonts w:ascii="Times New Roman" w:hAnsi="Times New Roman"/>
          <w:b/>
          <w:bCs/>
          <w:sz w:val="18"/>
          <w:szCs w:val="18"/>
        </w:rPr>
        <w:t xml:space="preserve">Conference Proceedings </w:t>
      </w:r>
    </w:p>
    <w:p w14:paraId="455D6602" w14:textId="77777777" w:rsidR="00A3788A" w:rsidRPr="00213B7B" w:rsidRDefault="00A3788A" w:rsidP="00A3788A">
      <w:pPr>
        <w:pStyle w:val="Default"/>
        <w:jc w:val="both"/>
        <w:rPr>
          <w:rFonts w:cs="Times New Roman"/>
          <w:sz w:val="16"/>
          <w:szCs w:val="16"/>
        </w:rPr>
      </w:pPr>
      <w:r w:rsidRPr="00213B7B">
        <w:rPr>
          <w:rFonts w:cs="Times New Roman"/>
          <w:i/>
          <w:iCs/>
          <w:sz w:val="16"/>
          <w:szCs w:val="16"/>
        </w:rPr>
        <w:t xml:space="preserve">Basic Format: </w:t>
      </w:r>
    </w:p>
    <w:p w14:paraId="2B1F4474" w14:textId="77777777" w:rsidR="00A3788A" w:rsidRPr="00213B7B" w:rsidRDefault="00A3788A" w:rsidP="00A3788A">
      <w:pPr>
        <w:autoSpaceDE w:val="0"/>
        <w:autoSpaceDN w:val="0"/>
        <w:adjustRightInd w:val="0"/>
        <w:jc w:val="both"/>
        <w:rPr>
          <w:color w:val="000000"/>
          <w:spacing w:val="-2"/>
          <w:sz w:val="16"/>
          <w:szCs w:val="16"/>
        </w:rPr>
      </w:pPr>
      <w:r w:rsidRPr="00213B7B">
        <w:rPr>
          <w:color w:val="000000"/>
          <w:spacing w:val="-2"/>
          <w:sz w:val="16"/>
          <w:szCs w:val="16"/>
        </w:rPr>
        <w:t xml:space="preserve">J. K. Author, “Title of paper,” in </w:t>
      </w:r>
      <w:r w:rsidRPr="00213B7B">
        <w:rPr>
          <w:i/>
          <w:iCs/>
          <w:color w:val="000000"/>
          <w:spacing w:val="-2"/>
          <w:sz w:val="16"/>
          <w:szCs w:val="16"/>
        </w:rPr>
        <w:t>Abbreviated Name of Conf.</w:t>
      </w:r>
      <w:r w:rsidRPr="00213B7B">
        <w:rPr>
          <w:color w:val="000000"/>
          <w:spacing w:val="-2"/>
          <w:sz w:val="16"/>
          <w:szCs w:val="16"/>
        </w:rPr>
        <w:t xml:space="preserve">, (location of conference is optional), year, pp. </w:t>
      </w:r>
      <w:r w:rsidRPr="00213B7B">
        <w:rPr>
          <w:i/>
          <w:iCs/>
          <w:color w:val="000000"/>
          <w:spacing w:val="-2"/>
          <w:sz w:val="16"/>
          <w:szCs w:val="16"/>
        </w:rPr>
        <w:t>xxx–xxx</w:t>
      </w:r>
      <w:r w:rsidRPr="00213B7B">
        <w:rPr>
          <w:color w:val="000000"/>
          <w:spacing w:val="-2"/>
          <w:sz w:val="16"/>
          <w:szCs w:val="16"/>
        </w:rPr>
        <w:t xml:space="preserve">, </w:t>
      </w:r>
      <w:proofErr w:type="spellStart"/>
      <w:r w:rsidRPr="00213B7B">
        <w:rPr>
          <w:color w:val="000000"/>
          <w:spacing w:val="-2"/>
          <w:sz w:val="16"/>
          <w:szCs w:val="16"/>
        </w:rPr>
        <w:t>doi</w:t>
      </w:r>
      <w:proofErr w:type="spellEnd"/>
      <w:r w:rsidRPr="00213B7B">
        <w:rPr>
          <w:color w:val="000000"/>
          <w:spacing w:val="-2"/>
          <w:sz w:val="16"/>
          <w:szCs w:val="16"/>
        </w:rPr>
        <w:t xml:space="preserve">: </w:t>
      </w:r>
      <w:r w:rsidRPr="00213B7B">
        <w:rPr>
          <w:i/>
          <w:iCs/>
          <w:color w:val="000000"/>
          <w:spacing w:val="-2"/>
          <w:sz w:val="16"/>
          <w:szCs w:val="16"/>
        </w:rPr>
        <w:t xml:space="preserve">xxx. </w:t>
      </w:r>
    </w:p>
    <w:p w14:paraId="6991D4EE" w14:textId="77777777" w:rsidR="00A3788A" w:rsidRPr="00213B7B" w:rsidRDefault="00A3788A" w:rsidP="00A3788A">
      <w:pPr>
        <w:pStyle w:val="Default"/>
        <w:jc w:val="both"/>
        <w:rPr>
          <w:rFonts w:cs="Times New Roman"/>
          <w:i/>
          <w:iCs/>
          <w:sz w:val="16"/>
          <w:szCs w:val="16"/>
        </w:rPr>
      </w:pPr>
      <w:r w:rsidRPr="00213B7B">
        <w:rPr>
          <w:rFonts w:cs="Times New Roman"/>
          <w:i/>
          <w:iCs/>
          <w:sz w:val="16"/>
          <w:szCs w:val="16"/>
        </w:rPr>
        <w:t xml:space="preserve">Examples: </w:t>
      </w:r>
    </w:p>
    <w:p w14:paraId="1AA2908B" w14:textId="77777777" w:rsidR="00A3788A" w:rsidRPr="00F902B7" w:rsidRDefault="00A3788A" w:rsidP="00A3788A">
      <w:pPr>
        <w:pStyle w:val="Default"/>
        <w:numPr>
          <w:ilvl w:val="0"/>
          <w:numId w:val="21"/>
        </w:numPr>
        <w:ind w:left="426"/>
        <w:jc w:val="both"/>
        <w:rPr>
          <w:rFonts w:cs="Times New Roman"/>
          <w:sz w:val="16"/>
          <w:szCs w:val="16"/>
        </w:rPr>
      </w:pPr>
      <w:r w:rsidRPr="00F902B7">
        <w:rPr>
          <w:rFonts w:cs="Times New Roman"/>
          <w:sz w:val="16"/>
          <w:szCs w:val="16"/>
        </w:rPr>
        <w:t xml:space="preserve">G. </w:t>
      </w:r>
      <w:proofErr w:type="spellStart"/>
      <w:r w:rsidRPr="00F902B7">
        <w:rPr>
          <w:rFonts w:cs="Times New Roman"/>
          <w:sz w:val="16"/>
          <w:szCs w:val="16"/>
        </w:rPr>
        <w:t>Veruggio</w:t>
      </w:r>
      <w:proofErr w:type="spellEnd"/>
      <w:r w:rsidRPr="00F902B7">
        <w:rPr>
          <w:rFonts w:cs="Times New Roman"/>
          <w:sz w:val="16"/>
          <w:szCs w:val="16"/>
        </w:rPr>
        <w:t xml:space="preserve">, “The EURON </w:t>
      </w:r>
      <w:proofErr w:type="spellStart"/>
      <w:r w:rsidRPr="00F902B7">
        <w:rPr>
          <w:rFonts w:cs="Times New Roman"/>
          <w:sz w:val="16"/>
          <w:szCs w:val="16"/>
        </w:rPr>
        <w:t>roboethics</w:t>
      </w:r>
      <w:proofErr w:type="spellEnd"/>
      <w:r w:rsidRPr="00F902B7">
        <w:rPr>
          <w:rFonts w:cs="Times New Roman"/>
          <w:sz w:val="16"/>
          <w:szCs w:val="16"/>
        </w:rPr>
        <w:t xml:space="preserve"> roadmap,” in </w:t>
      </w:r>
      <w:r w:rsidRPr="00F902B7">
        <w:rPr>
          <w:rFonts w:cs="Times New Roman"/>
          <w:i/>
          <w:iCs/>
          <w:sz w:val="16"/>
          <w:szCs w:val="16"/>
        </w:rPr>
        <w:t>Proc. Humanoids ’06: 6th IEEE-RAS Int. Conf. Humanoid Robots</w:t>
      </w:r>
      <w:r w:rsidRPr="00F902B7">
        <w:rPr>
          <w:rFonts w:cs="Times New Roman"/>
          <w:sz w:val="16"/>
          <w:szCs w:val="16"/>
        </w:rPr>
        <w:t xml:space="preserve">, 2006, pp. 612–617, </w:t>
      </w:r>
      <w:proofErr w:type="spellStart"/>
      <w:r w:rsidRPr="00F902B7">
        <w:rPr>
          <w:rFonts w:cs="Times New Roman"/>
          <w:sz w:val="16"/>
          <w:szCs w:val="16"/>
        </w:rPr>
        <w:t>doi</w:t>
      </w:r>
      <w:proofErr w:type="spellEnd"/>
      <w:r w:rsidRPr="00F902B7">
        <w:rPr>
          <w:rFonts w:cs="Times New Roman"/>
          <w:sz w:val="16"/>
          <w:szCs w:val="16"/>
        </w:rPr>
        <w:t xml:space="preserve">: 10.1109/ICHR.2006.321337. </w:t>
      </w:r>
    </w:p>
    <w:p w14:paraId="698FF56B" w14:textId="77777777" w:rsidR="00A3788A" w:rsidRPr="00F902B7" w:rsidRDefault="00A3788A" w:rsidP="00A3788A">
      <w:pPr>
        <w:pStyle w:val="Default"/>
        <w:numPr>
          <w:ilvl w:val="0"/>
          <w:numId w:val="21"/>
        </w:numPr>
        <w:ind w:left="426"/>
        <w:jc w:val="both"/>
        <w:rPr>
          <w:rFonts w:cs="Times New Roman"/>
          <w:sz w:val="16"/>
          <w:szCs w:val="16"/>
        </w:rPr>
      </w:pPr>
      <w:r w:rsidRPr="00F902B7">
        <w:rPr>
          <w:rFonts w:cs="Times New Roman"/>
          <w:sz w:val="16"/>
          <w:szCs w:val="16"/>
        </w:rPr>
        <w:t xml:space="preserve">J. Zhao, G. Sun, G. H. Loh, and Y. Xie, “Energy-efficient GPU design with reconfigurable in-package graphics memory,” in </w:t>
      </w:r>
      <w:r w:rsidRPr="00F902B7">
        <w:rPr>
          <w:rFonts w:cs="Times New Roman"/>
          <w:i/>
          <w:iCs/>
          <w:sz w:val="16"/>
          <w:szCs w:val="16"/>
        </w:rPr>
        <w:t>Proc. ACM/IEEE Int. Symp. Low Power Electron. Design (ISLPED)</w:t>
      </w:r>
      <w:r w:rsidRPr="00F902B7">
        <w:rPr>
          <w:rFonts w:cs="Times New Roman"/>
          <w:sz w:val="16"/>
          <w:szCs w:val="16"/>
        </w:rPr>
        <w:t xml:space="preserve">, Jul. 2012, pp. 403–408, </w:t>
      </w:r>
      <w:proofErr w:type="spellStart"/>
      <w:r w:rsidRPr="00F902B7">
        <w:rPr>
          <w:rFonts w:cs="Times New Roman"/>
          <w:sz w:val="16"/>
          <w:szCs w:val="16"/>
        </w:rPr>
        <w:t>doi</w:t>
      </w:r>
      <w:proofErr w:type="spellEnd"/>
      <w:r w:rsidRPr="00F902B7">
        <w:rPr>
          <w:rFonts w:cs="Times New Roman"/>
          <w:sz w:val="16"/>
          <w:szCs w:val="16"/>
        </w:rPr>
        <w:t xml:space="preserve">: 10.1145/2333660.2333752. </w:t>
      </w:r>
    </w:p>
    <w:p w14:paraId="52C6EA4E" w14:textId="77777777" w:rsidR="00A3788A" w:rsidRPr="002215FE" w:rsidRDefault="00A3788A" w:rsidP="00A3788A">
      <w:pPr>
        <w:jc w:val="both"/>
        <w:rPr>
          <w:b/>
          <w:bCs/>
        </w:rPr>
      </w:pPr>
    </w:p>
    <w:p w14:paraId="34178369" w14:textId="77777777" w:rsidR="00A3788A" w:rsidRPr="003D6B19" w:rsidRDefault="00A3788A" w:rsidP="00A3788A">
      <w:pPr>
        <w:pStyle w:val="ListParagraph"/>
        <w:numPr>
          <w:ilvl w:val="0"/>
          <w:numId w:val="20"/>
        </w:numPr>
        <w:spacing w:after="0" w:line="240" w:lineRule="auto"/>
        <w:ind w:left="426" w:hanging="426"/>
        <w:jc w:val="both"/>
        <w:rPr>
          <w:rFonts w:ascii="Times New Roman" w:hAnsi="Times New Roman"/>
          <w:b/>
          <w:bCs/>
          <w:sz w:val="18"/>
          <w:szCs w:val="18"/>
        </w:rPr>
      </w:pPr>
      <w:r w:rsidRPr="003D6B19">
        <w:rPr>
          <w:rFonts w:ascii="Times New Roman" w:hAnsi="Times New Roman"/>
          <w:b/>
          <w:bCs/>
          <w:sz w:val="18"/>
          <w:szCs w:val="18"/>
        </w:rPr>
        <w:t>Book</w:t>
      </w:r>
    </w:p>
    <w:p w14:paraId="05191B28" w14:textId="77777777" w:rsidR="00A3788A" w:rsidRPr="00213B7B" w:rsidRDefault="00A3788A" w:rsidP="00A3788A">
      <w:pPr>
        <w:pStyle w:val="Default"/>
        <w:jc w:val="both"/>
        <w:rPr>
          <w:rFonts w:cs="Times New Roman"/>
          <w:i/>
          <w:iCs/>
          <w:sz w:val="16"/>
          <w:szCs w:val="16"/>
        </w:rPr>
      </w:pPr>
      <w:r w:rsidRPr="00213B7B">
        <w:rPr>
          <w:rFonts w:cs="Times New Roman"/>
          <w:i/>
          <w:iCs/>
          <w:sz w:val="16"/>
          <w:szCs w:val="16"/>
        </w:rPr>
        <w:t xml:space="preserve">Basic Format: </w:t>
      </w:r>
    </w:p>
    <w:p w14:paraId="2F337000" w14:textId="77777777" w:rsidR="00A3788A" w:rsidRPr="00213B7B" w:rsidRDefault="00A3788A" w:rsidP="00A3788A">
      <w:pPr>
        <w:autoSpaceDE w:val="0"/>
        <w:autoSpaceDN w:val="0"/>
        <w:adjustRightInd w:val="0"/>
        <w:jc w:val="both"/>
        <w:rPr>
          <w:color w:val="000000"/>
          <w:sz w:val="16"/>
          <w:szCs w:val="16"/>
        </w:rPr>
      </w:pPr>
      <w:r w:rsidRPr="00213B7B">
        <w:rPr>
          <w:color w:val="000000"/>
          <w:sz w:val="16"/>
          <w:szCs w:val="16"/>
        </w:rPr>
        <w:t xml:space="preserve">J. K. Author, “Title of chapter in the book,” in </w:t>
      </w:r>
      <w:r w:rsidRPr="00213B7B">
        <w:rPr>
          <w:i/>
          <w:iCs/>
          <w:color w:val="000000"/>
          <w:sz w:val="16"/>
          <w:szCs w:val="16"/>
        </w:rPr>
        <w:t>Title of His Published Book</w:t>
      </w:r>
      <w:r w:rsidRPr="00213B7B">
        <w:rPr>
          <w:color w:val="000000"/>
          <w:sz w:val="16"/>
          <w:szCs w:val="16"/>
        </w:rPr>
        <w:t xml:space="preserve">, X. Editor, Ed., </w:t>
      </w:r>
      <w:proofErr w:type="spellStart"/>
      <w:r w:rsidRPr="00213B7B">
        <w:rPr>
          <w:i/>
          <w:iCs/>
          <w:color w:val="000000"/>
          <w:sz w:val="16"/>
          <w:szCs w:val="16"/>
        </w:rPr>
        <w:t>x</w:t>
      </w:r>
      <w:r w:rsidRPr="00213B7B">
        <w:rPr>
          <w:color w:val="000000"/>
          <w:sz w:val="16"/>
          <w:szCs w:val="16"/>
        </w:rPr>
        <w:t>th</w:t>
      </w:r>
      <w:proofErr w:type="spellEnd"/>
      <w:r w:rsidRPr="00213B7B">
        <w:rPr>
          <w:color w:val="000000"/>
          <w:sz w:val="16"/>
          <w:szCs w:val="16"/>
        </w:rPr>
        <w:t xml:space="preserve"> ed. City of Publisher, State (only U.S.), Country: Abbrev. of Publisher, year, </w:t>
      </w:r>
      <w:proofErr w:type="spellStart"/>
      <w:r w:rsidRPr="00213B7B">
        <w:rPr>
          <w:color w:val="000000"/>
          <w:sz w:val="16"/>
          <w:szCs w:val="16"/>
        </w:rPr>
        <w:t>ch.</w:t>
      </w:r>
      <w:proofErr w:type="spellEnd"/>
      <w:r w:rsidRPr="00213B7B">
        <w:rPr>
          <w:color w:val="000000"/>
          <w:sz w:val="16"/>
          <w:szCs w:val="16"/>
        </w:rPr>
        <w:t xml:space="preserve"> </w:t>
      </w:r>
      <w:r w:rsidRPr="00213B7B">
        <w:rPr>
          <w:i/>
          <w:iCs/>
          <w:color w:val="000000"/>
          <w:sz w:val="16"/>
          <w:szCs w:val="16"/>
        </w:rPr>
        <w:t>x</w:t>
      </w:r>
      <w:r w:rsidRPr="00213B7B">
        <w:rPr>
          <w:color w:val="000000"/>
          <w:sz w:val="16"/>
          <w:szCs w:val="16"/>
        </w:rPr>
        <w:t xml:space="preserve">, sec. </w:t>
      </w:r>
      <w:r w:rsidRPr="00213B7B">
        <w:rPr>
          <w:i/>
          <w:iCs/>
          <w:color w:val="000000"/>
          <w:sz w:val="16"/>
          <w:szCs w:val="16"/>
        </w:rPr>
        <w:t>x</w:t>
      </w:r>
      <w:r w:rsidRPr="00213B7B">
        <w:rPr>
          <w:color w:val="000000"/>
          <w:sz w:val="16"/>
          <w:szCs w:val="16"/>
        </w:rPr>
        <w:t xml:space="preserve">, pp. </w:t>
      </w:r>
      <w:r w:rsidRPr="00213B7B">
        <w:rPr>
          <w:i/>
          <w:iCs/>
          <w:color w:val="000000"/>
          <w:sz w:val="16"/>
          <w:szCs w:val="16"/>
        </w:rPr>
        <w:t xml:space="preserve">xxx–xxx. </w:t>
      </w:r>
    </w:p>
    <w:p w14:paraId="635C78C1" w14:textId="77777777" w:rsidR="00A3788A" w:rsidRPr="00213B7B" w:rsidRDefault="00A3788A" w:rsidP="00A3788A">
      <w:pPr>
        <w:jc w:val="both"/>
        <w:rPr>
          <w:i/>
          <w:iCs/>
          <w:sz w:val="16"/>
          <w:szCs w:val="16"/>
        </w:rPr>
      </w:pPr>
      <w:r w:rsidRPr="00213B7B">
        <w:rPr>
          <w:i/>
          <w:iCs/>
          <w:sz w:val="16"/>
          <w:szCs w:val="16"/>
        </w:rPr>
        <w:t>Examples:</w:t>
      </w:r>
    </w:p>
    <w:p w14:paraId="6D916C43" w14:textId="77777777" w:rsidR="00A3788A" w:rsidRPr="00F902B7" w:rsidRDefault="00A3788A" w:rsidP="00A3788A">
      <w:pPr>
        <w:pStyle w:val="Default"/>
        <w:numPr>
          <w:ilvl w:val="0"/>
          <w:numId w:val="21"/>
        </w:numPr>
        <w:ind w:left="426"/>
        <w:jc w:val="both"/>
        <w:rPr>
          <w:rFonts w:cs="Times New Roman"/>
          <w:sz w:val="16"/>
          <w:szCs w:val="16"/>
        </w:rPr>
      </w:pPr>
      <w:r w:rsidRPr="00F902B7">
        <w:rPr>
          <w:rFonts w:cs="Times New Roman"/>
          <w:sz w:val="16"/>
          <w:szCs w:val="16"/>
        </w:rPr>
        <w:t xml:space="preserve">A. </w:t>
      </w:r>
      <w:proofErr w:type="spellStart"/>
      <w:r w:rsidRPr="00F902B7">
        <w:rPr>
          <w:rFonts w:cs="Times New Roman"/>
          <w:sz w:val="16"/>
          <w:szCs w:val="16"/>
        </w:rPr>
        <w:t>Taflove</w:t>
      </w:r>
      <w:proofErr w:type="spellEnd"/>
      <w:r w:rsidRPr="00F902B7">
        <w:rPr>
          <w:rFonts w:cs="Times New Roman"/>
          <w:sz w:val="16"/>
          <w:szCs w:val="16"/>
        </w:rPr>
        <w:t xml:space="preserve">, </w:t>
      </w:r>
      <w:r w:rsidRPr="00F902B7">
        <w:rPr>
          <w:rFonts w:cs="Times New Roman"/>
          <w:i/>
          <w:iCs/>
          <w:sz w:val="16"/>
          <w:szCs w:val="16"/>
        </w:rPr>
        <w:t xml:space="preserve">Computational Electrodynamics: The Finite-Difference Time-Domain Method </w:t>
      </w:r>
      <w:r w:rsidRPr="00F902B7">
        <w:rPr>
          <w:rFonts w:cs="Times New Roman"/>
          <w:sz w:val="16"/>
          <w:szCs w:val="16"/>
        </w:rPr>
        <w:t xml:space="preserve">in Computational Electrodynamics II, vol. 3, 2nd ed. Norwood, MA, USA: Artech House, 1996. </w:t>
      </w:r>
    </w:p>
    <w:p w14:paraId="7EF3329C" w14:textId="77777777" w:rsidR="00A3788A" w:rsidRPr="00F902B7" w:rsidRDefault="00A3788A" w:rsidP="00A3788A">
      <w:pPr>
        <w:pStyle w:val="Default"/>
        <w:numPr>
          <w:ilvl w:val="0"/>
          <w:numId w:val="21"/>
        </w:numPr>
        <w:ind w:left="426"/>
        <w:jc w:val="both"/>
        <w:rPr>
          <w:rFonts w:cs="Times New Roman"/>
          <w:sz w:val="16"/>
          <w:szCs w:val="16"/>
        </w:rPr>
      </w:pPr>
      <w:r w:rsidRPr="00F902B7">
        <w:rPr>
          <w:rFonts w:cs="Times New Roman"/>
          <w:sz w:val="16"/>
          <w:szCs w:val="16"/>
        </w:rPr>
        <w:t xml:space="preserve">R. L. Myer, “Parametric oscillators and nonlinear materials,” in </w:t>
      </w:r>
      <w:r w:rsidRPr="00F902B7">
        <w:rPr>
          <w:rFonts w:cs="Times New Roman"/>
          <w:i/>
          <w:iCs/>
          <w:sz w:val="16"/>
          <w:szCs w:val="16"/>
        </w:rPr>
        <w:t>Nonlinear Optics</w:t>
      </w:r>
      <w:r w:rsidRPr="00F902B7">
        <w:rPr>
          <w:rFonts w:cs="Times New Roman"/>
          <w:sz w:val="16"/>
          <w:szCs w:val="16"/>
        </w:rPr>
        <w:t xml:space="preserve">, vol. 4, P. G. Harper and B. S. </w:t>
      </w:r>
      <w:proofErr w:type="spellStart"/>
      <w:r w:rsidRPr="00F902B7">
        <w:rPr>
          <w:rFonts w:cs="Times New Roman"/>
          <w:sz w:val="16"/>
          <w:szCs w:val="16"/>
        </w:rPr>
        <w:t>Wherret</w:t>
      </w:r>
      <w:proofErr w:type="spellEnd"/>
      <w:r w:rsidRPr="00F902B7">
        <w:rPr>
          <w:rFonts w:cs="Times New Roman"/>
          <w:sz w:val="16"/>
          <w:szCs w:val="16"/>
        </w:rPr>
        <w:t xml:space="preserve">, Eds., San Francisco, CA, USA: Academic, 1977, pp. 47–160. </w:t>
      </w:r>
    </w:p>
    <w:p w14:paraId="52E976A5" w14:textId="77777777" w:rsidR="00A3788A" w:rsidRPr="002215FE" w:rsidRDefault="00A3788A" w:rsidP="00A3788A">
      <w:pPr>
        <w:jc w:val="both"/>
        <w:rPr>
          <w:color w:val="000000"/>
        </w:rPr>
      </w:pPr>
    </w:p>
    <w:p w14:paraId="6179680A" w14:textId="77777777" w:rsidR="00A3788A" w:rsidRPr="003D6B19" w:rsidRDefault="00A3788A" w:rsidP="00A3788A">
      <w:pPr>
        <w:pStyle w:val="ListParagraph"/>
        <w:numPr>
          <w:ilvl w:val="0"/>
          <w:numId w:val="20"/>
        </w:numPr>
        <w:spacing w:after="0" w:line="240" w:lineRule="auto"/>
        <w:ind w:left="426" w:hanging="426"/>
        <w:jc w:val="both"/>
        <w:rPr>
          <w:rFonts w:ascii="Times New Roman" w:hAnsi="Times New Roman"/>
          <w:b/>
          <w:bCs/>
          <w:sz w:val="18"/>
          <w:szCs w:val="18"/>
        </w:rPr>
      </w:pPr>
      <w:r w:rsidRPr="003D6B19">
        <w:rPr>
          <w:rFonts w:ascii="Times New Roman" w:hAnsi="Times New Roman"/>
          <w:b/>
          <w:bCs/>
          <w:sz w:val="18"/>
          <w:szCs w:val="18"/>
        </w:rPr>
        <w:t xml:space="preserve">M. Theses (B.S., M.S.) and Dissertations (Ph.D.) </w:t>
      </w:r>
    </w:p>
    <w:p w14:paraId="09992825" w14:textId="77777777" w:rsidR="00A3788A" w:rsidRPr="00213B7B" w:rsidRDefault="00A3788A" w:rsidP="00A3788A">
      <w:pPr>
        <w:pStyle w:val="Default"/>
        <w:jc w:val="both"/>
        <w:rPr>
          <w:rFonts w:cs="Times New Roman"/>
          <w:sz w:val="16"/>
          <w:szCs w:val="16"/>
        </w:rPr>
      </w:pPr>
      <w:r w:rsidRPr="00213B7B">
        <w:rPr>
          <w:rFonts w:cs="Times New Roman"/>
          <w:i/>
          <w:iCs/>
          <w:sz w:val="16"/>
          <w:szCs w:val="16"/>
        </w:rPr>
        <w:t xml:space="preserve">Basic Format: </w:t>
      </w:r>
    </w:p>
    <w:p w14:paraId="53A5C51E" w14:textId="77777777" w:rsidR="00A3788A" w:rsidRPr="00213B7B" w:rsidRDefault="00A3788A" w:rsidP="00A3788A">
      <w:pPr>
        <w:pStyle w:val="Default"/>
        <w:jc w:val="both"/>
        <w:rPr>
          <w:rFonts w:cs="Times New Roman"/>
          <w:sz w:val="16"/>
          <w:szCs w:val="16"/>
        </w:rPr>
      </w:pPr>
      <w:r w:rsidRPr="00213B7B">
        <w:rPr>
          <w:rFonts w:cs="Times New Roman"/>
          <w:sz w:val="16"/>
          <w:szCs w:val="16"/>
        </w:rPr>
        <w:t xml:space="preserve">J. K. Author, “Title of thesis,” M.S. thesis, Abbrev. Dept., Abbrev. Univ., City of Univ., Abbrev. State, year. </w:t>
      </w:r>
    </w:p>
    <w:p w14:paraId="1987FA26" w14:textId="77777777" w:rsidR="00A3788A" w:rsidRPr="00213B7B" w:rsidRDefault="00A3788A" w:rsidP="00A3788A">
      <w:pPr>
        <w:pStyle w:val="Default"/>
        <w:jc w:val="both"/>
        <w:rPr>
          <w:rFonts w:cs="Times New Roman"/>
          <w:sz w:val="16"/>
          <w:szCs w:val="16"/>
        </w:rPr>
      </w:pPr>
      <w:r w:rsidRPr="00213B7B">
        <w:rPr>
          <w:rFonts w:cs="Times New Roman"/>
          <w:sz w:val="16"/>
          <w:szCs w:val="16"/>
        </w:rPr>
        <w:t xml:space="preserve">J. K. Author, “Title of dissertation,” Ph.D. dissertation, Abbrev. Dept., Abbrev. Univ., City of Univ., Abbrev. State, year. </w:t>
      </w:r>
    </w:p>
    <w:p w14:paraId="10944D03" w14:textId="77777777" w:rsidR="00A3788A" w:rsidRPr="00213B7B" w:rsidRDefault="00A3788A" w:rsidP="00A3788A">
      <w:pPr>
        <w:pStyle w:val="Default"/>
        <w:jc w:val="both"/>
        <w:rPr>
          <w:rFonts w:cs="Times New Roman"/>
          <w:sz w:val="16"/>
          <w:szCs w:val="16"/>
        </w:rPr>
      </w:pPr>
      <w:r w:rsidRPr="00213B7B">
        <w:rPr>
          <w:rFonts w:cs="Times New Roman"/>
          <w:i/>
          <w:iCs/>
          <w:sz w:val="16"/>
          <w:szCs w:val="16"/>
        </w:rPr>
        <w:t xml:space="preserve">Examples: </w:t>
      </w:r>
    </w:p>
    <w:p w14:paraId="245B3153" w14:textId="77777777" w:rsidR="00A3788A" w:rsidRPr="00F902B7" w:rsidRDefault="00A3788A" w:rsidP="00A3788A">
      <w:pPr>
        <w:pStyle w:val="Default"/>
        <w:numPr>
          <w:ilvl w:val="0"/>
          <w:numId w:val="21"/>
        </w:numPr>
        <w:ind w:left="426"/>
        <w:jc w:val="both"/>
        <w:rPr>
          <w:rFonts w:cs="Times New Roman"/>
          <w:sz w:val="16"/>
          <w:szCs w:val="16"/>
        </w:rPr>
      </w:pPr>
      <w:r w:rsidRPr="00F902B7">
        <w:rPr>
          <w:rFonts w:cs="Times New Roman"/>
          <w:sz w:val="16"/>
          <w:szCs w:val="16"/>
        </w:rPr>
        <w:t xml:space="preserve">J. O. Williams, “Narrow-band analyzer,” Ph.D. dissertation, Dept. Elect. Eng., Harvard Univ., Cambridge, MA, USA, 1993. </w:t>
      </w:r>
    </w:p>
    <w:p w14:paraId="598010B2" w14:textId="77777777" w:rsidR="00A3788A" w:rsidRPr="00F902B7" w:rsidRDefault="00A3788A" w:rsidP="00A3788A">
      <w:pPr>
        <w:pStyle w:val="Default"/>
        <w:numPr>
          <w:ilvl w:val="0"/>
          <w:numId w:val="21"/>
        </w:numPr>
        <w:ind w:left="426"/>
        <w:jc w:val="both"/>
        <w:rPr>
          <w:rFonts w:cs="Times New Roman"/>
          <w:sz w:val="16"/>
          <w:szCs w:val="16"/>
        </w:rPr>
      </w:pPr>
      <w:r w:rsidRPr="00F902B7">
        <w:rPr>
          <w:rFonts w:cs="Times New Roman"/>
          <w:sz w:val="16"/>
          <w:szCs w:val="16"/>
        </w:rPr>
        <w:t xml:space="preserve">N. Kawasaki, “Parametric study of thermal and chemical nonequilibrium nozzle flow,” M.S. thesis, Dept. Electron. Eng., Osaka Univ., Osaka, Japan, 1993. </w:t>
      </w:r>
    </w:p>
    <w:p w14:paraId="1AC7617E" w14:textId="77777777" w:rsidR="00A3788A" w:rsidRPr="00213B7B" w:rsidRDefault="00A3788A" w:rsidP="00A3788A">
      <w:pPr>
        <w:rPr>
          <w:color w:val="000000"/>
          <w:sz w:val="16"/>
          <w:szCs w:val="16"/>
        </w:rPr>
      </w:pPr>
      <w:r w:rsidRPr="00213B7B">
        <w:rPr>
          <w:color w:val="000000"/>
          <w:sz w:val="16"/>
          <w:szCs w:val="16"/>
        </w:rPr>
        <w:t xml:space="preserve">*In the reference list, however, list all the authors for up to six authors. Use </w:t>
      </w:r>
      <w:r w:rsidRPr="00213B7B">
        <w:rPr>
          <w:i/>
          <w:iCs/>
          <w:color w:val="000000"/>
          <w:sz w:val="16"/>
          <w:szCs w:val="16"/>
        </w:rPr>
        <w:t>et al.</w:t>
      </w:r>
      <w:r w:rsidRPr="00213B7B">
        <w:rPr>
          <w:color w:val="000000"/>
          <w:sz w:val="16"/>
          <w:szCs w:val="16"/>
        </w:rPr>
        <w:t xml:space="preserve"> only if: 1) The names are not given and 2) List of authors more than 6. </w:t>
      </w:r>
      <w:r w:rsidRPr="00213B7B">
        <w:rPr>
          <w:i/>
          <w:iCs/>
          <w:color w:val="000000"/>
          <w:sz w:val="16"/>
          <w:szCs w:val="16"/>
        </w:rPr>
        <w:t>Example</w:t>
      </w:r>
      <w:r w:rsidRPr="00213B7B">
        <w:rPr>
          <w:color w:val="000000"/>
          <w:sz w:val="16"/>
          <w:szCs w:val="16"/>
        </w:rPr>
        <w:t xml:space="preserve">: J. D. Bellamy </w:t>
      </w:r>
      <w:r w:rsidRPr="00213B7B">
        <w:rPr>
          <w:i/>
          <w:iCs/>
          <w:color w:val="000000"/>
          <w:sz w:val="16"/>
          <w:szCs w:val="16"/>
        </w:rPr>
        <w:t>et al.</w:t>
      </w:r>
      <w:r w:rsidRPr="00213B7B">
        <w:rPr>
          <w:color w:val="000000"/>
          <w:sz w:val="16"/>
          <w:szCs w:val="16"/>
        </w:rPr>
        <w:t>, Computer Telephony Integration, New York: Wiley, 2010.</w:t>
      </w:r>
    </w:p>
    <w:bookmarkEnd w:id="12"/>
    <w:bookmarkEnd w:id="13"/>
    <w:bookmarkEnd w:id="15"/>
    <w:p w14:paraId="55D565AB" w14:textId="574F2DB9" w:rsidR="006E1F55" w:rsidRDefault="006E1F55" w:rsidP="006E1F55">
      <w:pPr>
        <w:jc w:val="both"/>
        <w:rPr>
          <w:color w:val="000000"/>
        </w:rPr>
      </w:pPr>
    </w:p>
    <w:p w14:paraId="139A09DF" w14:textId="77777777" w:rsidR="00800BFC" w:rsidRPr="006E1F55" w:rsidRDefault="00800BFC" w:rsidP="006E1F55">
      <w:pPr>
        <w:jc w:val="both"/>
        <w:rPr>
          <w:color w:val="000000"/>
        </w:rPr>
      </w:pPr>
    </w:p>
    <w:p w14:paraId="76AA37EB" w14:textId="77777777" w:rsidR="006E1F55" w:rsidRPr="003D6B19" w:rsidRDefault="006E1F55" w:rsidP="006E1F55">
      <w:pPr>
        <w:jc w:val="both"/>
        <w:rPr>
          <w:i/>
          <w:iCs/>
          <w:color w:val="000000"/>
          <w:sz w:val="18"/>
          <w:szCs w:val="18"/>
        </w:rPr>
      </w:pPr>
      <w:r w:rsidRPr="003D6B19">
        <w:rPr>
          <w:i/>
          <w:iCs/>
          <w:color w:val="000000"/>
          <w:sz w:val="18"/>
          <w:szCs w:val="18"/>
        </w:rPr>
        <w:t>See the examples:</w:t>
      </w:r>
    </w:p>
    <w:p w14:paraId="7B303AAA" w14:textId="77777777" w:rsidR="006E1F55" w:rsidRPr="003D6B19" w:rsidRDefault="006E1F55" w:rsidP="006E1F55">
      <w:pPr>
        <w:jc w:val="both"/>
        <w:rPr>
          <w:i/>
          <w:iCs/>
          <w:color w:val="000000"/>
          <w:sz w:val="18"/>
          <w:szCs w:val="18"/>
        </w:rPr>
      </w:pPr>
      <w:bookmarkStart w:id="16" w:name="_Hlk78354977"/>
      <w:r w:rsidRPr="003D6B19">
        <w:rPr>
          <w:rStyle w:val="apple-style-span"/>
          <w:b/>
          <w:color w:val="000000"/>
          <w:lang w:val="pt-BR"/>
        </w:rPr>
        <w:t>REFERENCES</w:t>
      </w:r>
    </w:p>
    <w:bookmarkEnd w:id="16"/>
    <w:p w14:paraId="04477530" w14:textId="77777777" w:rsidR="006E1F55" w:rsidRPr="007D5A87" w:rsidRDefault="006E1F55" w:rsidP="006E1F55">
      <w:pPr>
        <w:widowControl w:val="0"/>
        <w:autoSpaceDE w:val="0"/>
        <w:autoSpaceDN w:val="0"/>
        <w:adjustRightInd w:val="0"/>
        <w:ind w:left="426" w:hanging="426"/>
        <w:jc w:val="both"/>
        <w:rPr>
          <w:noProof/>
          <w:sz w:val="16"/>
          <w:szCs w:val="22"/>
        </w:rPr>
      </w:pPr>
      <w:r w:rsidRPr="007D5A87">
        <w:rPr>
          <w:color w:val="000000"/>
          <w:sz w:val="16"/>
          <w:szCs w:val="16"/>
        </w:rPr>
        <w:fldChar w:fldCharType="begin" w:fldLock="1"/>
      </w:r>
      <w:r w:rsidRPr="007D5A87">
        <w:rPr>
          <w:color w:val="000000"/>
          <w:sz w:val="16"/>
          <w:szCs w:val="16"/>
        </w:rPr>
        <w:instrText xml:space="preserve">ADDIN Mendeley Bibliography CSL_BIBLIOGRAPHY </w:instrText>
      </w:r>
      <w:r w:rsidRPr="007D5A87">
        <w:rPr>
          <w:color w:val="000000"/>
          <w:sz w:val="16"/>
          <w:szCs w:val="16"/>
        </w:rPr>
        <w:fldChar w:fldCharType="separate"/>
      </w:r>
      <w:r w:rsidRPr="007D5A87">
        <w:rPr>
          <w:noProof/>
          <w:sz w:val="16"/>
          <w:szCs w:val="22"/>
        </w:rPr>
        <w:t>[1]</w:t>
      </w:r>
      <w:r w:rsidRPr="007D5A87">
        <w:rPr>
          <w:noProof/>
          <w:sz w:val="16"/>
          <w:szCs w:val="22"/>
        </w:rPr>
        <w:tab/>
        <w:t xml:space="preserve">T. S. Ustun, C. Ozansoy, and A. Zayegh, “Recent developments in microgrids and example cases around the world—A review,” </w:t>
      </w:r>
      <w:r w:rsidRPr="007D5A87">
        <w:rPr>
          <w:i/>
          <w:iCs/>
          <w:noProof/>
          <w:sz w:val="16"/>
          <w:szCs w:val="22"/>
        </w:rPr>
        <w:t>Renew. Sustain. Energy Rev.</w:t>
      </w:r>
      <w:r w:rsidRPr="007D5A87">
        <w:rPr>
          <w:noProof/>
          <w:sz w:val="16"/>
          <w:szCs w:val="22"/>
        </w:rPr>
        <w:t>, vol. 15, no. 8, pp. 4030–4041, Oct. 2011, doi: 10.1016/j.rser.2011.07.033.</w:t>
      </w:r>
    </w:p>
    <w:p w14:paraId="4467556E" w14:textId="77777777" w:rsidR="006E1F55" w:rsidRPr="007D5A87" w:rsidRDefault="006E1F55" w:rsidP="006E1F55">
      <w:pPr>
        <w:widowControl w:val="0"/>
        <w:autoSpaceDE w:val="0"/>
        <w:autoSpaceDN w:val="0"/>
        <w:adjustRightInd w:val="0"/>
        <w:ind w:left="426" w:hanging="426"/>
        <w:jc w:val="both"/>
        <w:rPr>
          <w:noProof/>
          <w:sz w:val="16"/>
          <w:szCs w:val="22"/>
        </w:rPr>
      </w:pPr>
      <w:r w:rsidRPr="007D5A87">
        <w:rPr>
          <w:noProof/>
          <w:sz w:val="16"/>
          <w:szCs w:val="22"/>
        </w:rPr>
        <w:t>[2]</w:t>
      </w:r>
      <w:r w:rsidRPr="007D5A87">
        <w:rPr>
          <w:noProof/>
          <w:sz w:val="16"/>
          <w:szCs w:val="22"/>
        </w:rPr>
        <w:tab/>
        <w:t xml:space="preserve">D. Salomonsson, L. Soder, and A. Sannino, “Protection of Low-Voltage DC Microgrids,” </w:t>
      </w:r>
      <w:r w:rsidRPr="007D5A87">
        <w:rPr>
          <w:i/>
          <w:iCs/>
          <w:noProof/>
          <w:sz w:val="16"/>
          <w:szCs w:val="22"/>
        </w:rPr>
        <w:t>IEEE Trans. Power Deliv.</w:t>
      </w:r>
      <w:r w:rsidRPr="007D5A87">
        <w:rPr>
          <w:noProof/>
          <w:sz w:val="16"/>
          <w:szCs w:val="22"/>
        </w:rPr>
        <w:t>, vol. 24, no. 3, pp. 1045–1053, Jul. 2009, doi: 10.1109/TPWRD.2009.2016622.</w:t>
      </w:r>
    </w:p>
    <w:p w14:paraId="4B453022" w14:textId="77777777" w:rsidR="006E1F55" w:rsidRPr="007D5A87" w:rsidRDefault="006E1F55" w:rsidP="006E1F55">
      <w:pPr>
        <w:widowControl w:val="0"/>
        <w:autoSpaceDE w:val="0"/>
        <w:autoSpaceDN w:val="0"/>
        <w:adjustRightInd w:val="0"/>
        <w:ind w:left="426" w:hanging="426"/>
        <w:jc w:val="both"/>
        <w:rPr>
          <w:noProof/>
          <w:sz w:val="16"/>
          <w:szCs w:val="22"/>
        </w:rPr>
      </w:pPr>
      <w:r w:rsidRPr="007D5A87">
        <w:rPr>
          <w:noProof/>
          <w:sz w:val="16"/>
          <w:szCs w:val="22"/>
        </w:rPr>
        <w:t>[3]</w:t>
      </w:r>
      <w:r w:rsidRPr="007D5A87">
        <w:rPr>
          <w:noProof/>
          <w:sz w:val="16"/>
          <w:szCs w:val="22"/>
        </w:rPr>
        <w:tab/>
        <w:t xml:space="preserve">S. Chakraborty and M. G. Simoes, “Experimental Evaluation of Active Filtering in a Single-Phase High-Frequency AC Microgrid,” </w:t>
      </w:r>
      <w:r w:rsidRPr="007D5A87">
        <w:rPr>
          <w:i/>
          <w:iCs/>
          <w:noProof/>
          <w:sz w:val="16"/>
          <w:szCs w:val="22"/>
        </w:rPr>
        <w:t>IEEE Trans. Energy Convers.</w:t>
      </w:r>
      <w:r w:rsidRPr="007D5A87">
        <w:rPr>
          <w:noProof/>
          <w:sz w:val="16"/>
          <w:szCs w:val="22"/>
        </w:rPr>
        <w:t>, vol. 24, no. 3, pp. 673–682, Sep. 2009, doi: 10.1109/TEC.2009.2015998.</w:t>
      </w:r>
    </w:p>
    <w:p w14:paraId="385453A8" w14:textId="77777777" w:rsidR="006E1F55" w:rsidRPr="007D5A87" w:rsidRDefault="006E1F55" w:rsidP="006E1F55">
      <w:pPr>
        <w:widowControl w:val="0"/>
        <w:autoSpaceDE w:val="0"/>
        <w:autoSpaceDN w:val="0"/>
        <w:adjustRightInd w:val="0"/>
        <w:ind w:left="426" w:hanging="426"/>
        <w:jc w:val="both"/>
        <w:rPr>
          <w:noProof/>
          <w:sz w:val="16"/>
          <w:szCs w:val="22"/>
        </w:rPr>
      </w:pPr>
      <w:r w:rsidRPr="007D5A87">
        <w:rPr>
          <w:noProof/>
          <w:sz w:val="16"/>
          <w:szCs w:val="22"/>
        </w:rPr>
        <w:t>[4]</w:t>
      </w:r>
      <w:r w:rsidRPr="007D5A87">
        <w:rPr>
          <w:noProof/>
          <w:sz w:val="16"/>
          <w:szCs w:val="22"/>
        </w:rPr>
        <w:tab/>
        <w:t xml:space="preserve">S. A. Hosseini, H. A. Abyaneh, S. H. H. Sadeghi, F. Razavi, and A. Nasiri, “An overview of microgrid protection methods and the factors involved,” </w:t>
      </w:r>
      <w:r w:rsidRPr="007D5A87">
        <w:rPr>
          <w:i/>
          <w:iCs/>
          <w:noProof/>
          <w:sz w:val="16"/>
          <w:szCs w:val="22"/>
        </w:rPr>
        <w:t>Renew. Sustain. Energy Rev.</w:t>
      </w:r>
      <w:r w:rsidRPr="007D5A87">
        <w:rPr>
          <w:noProof/>
          <w:sz w:val="16"/>
          <w:szCs w:val="22"/>
        </w:rPr>
        <w:t>, vol. 64, pp. 174–186, Oct. 2016, doi: 10.1016/j.rser.2016.05.089.</w:t>
      </w:r>
    </w:p>
    <w:p w14:paraId="161A1C91" w14:textId="77777777" w:rsidR="006E1F55" w:rsidRPr="007D5A87" w:rsidRDefault="006E1F55" w:rsidP="006E1F55">
      <w:pPr>
        <w:widowControl w:val="0"/>
        <w:autoSpaceDE w:val="0"/>
        <w:autoSpaceDN w:val="0"/>
        <w:adjustRightInd w:val="0"/>
        <w:ind w:left="426" w:hanging="426"/>
        <w:jc w:val="both"/>
        <w:rPr>
          <w:noProof/>
          <w:sz w:val="16"/>
          <w:szCs w:val="22"/>
        </w:rPr>
      </w:pPr>
      <w:r w:rsidRPr="007D5A87">
        <w:rPr>
          <w:noProof/>
          <w:sz w:val="16"/>
          <w:szCs w:val="22"/>
        </w:rPr>
        <w:t>[5]</w:t>
      </w:r>
      <w:r w:rsidRPr="007D5A87">
        <w:rPr>
          <w:noProof/>
          <w:sz w:val="16"/>
          <w:szCs w:val="22"/>
        </w:rPr>
        <w:tab/>
        <w:t xml:space="preserve">S. Chen, N. Tai, C. Fan, J. Liu, and S. Hong, “Sequence‐component‐based current differential protection for transmission lines connected with IIGs,” </w:t>
      </w:r>
      <w:r w:rsidRPr="007D5A87">
        <w:rPr>
          <w:i/>
          <w:iCs/>
          <w:noProof/>
          <w:sz w:val="16"/>
          <w:szCs w:val="22"/>
        </w:rPr>
        <w:t>IET Gener. Transm. Distrib.</w:t>
      </w:r>
      <w:r w:rsidRPr="007D5A87">
        <w:rPr>
          <w:noProof/>
          <w:sz w:val="16"/>
          <w:szCs w:val="22"/>
        </w:rPr>
        <w:t>, vol. 12, no. 12, pp. 3086–3096, Jul. 2018, doi: 10.1049/iet-gtd.2017.1507.</w:t>
      </w:r>
    </w:p>
    <w:p w14:paraId="02C69390" w14:textId="77777777" w:rsidR="006E1F55" w:rsidRPr="007D5A87" w:rsidRDefault="006E1F55" w:rsidP="006E1F55">
      <w:pPr>
        <w:widowControl w:val="0"/>
        <w:autoSpaceDE w:val="0"/>
        <w:autoSpaceDN w:val="0"/>
        <w:adjustRightInd w:val="0"/>
        <w:ind w:left="426" w:hanging="426"/>
        <w:jc w:val="both"/>
        <w:rPr>
          <w:noProof/>
          <w:sz w:val="16"/>
          <w:szCs w:val="22"/>
        </w:rPr>
      </w:pPr>
      <w:r w:rsidRPr="007D5A87">
        <w:rPr>
          <w:noProof/>
          <w:sz w:val="16"/>
          <w:szCs w:val="22"/>
        </w:rPr>
        <w:t>[6]</w:t>
      </w:r>
      <w:r w:rsidRPr="007D5A87">
        <w:rPr>
          <w:noProof/>
          <w:sz w:val="16"/>
          <w:szCs w:val="22"/>
        </w:rPr>
        <w:tab/>
        <w:t xml:space="preserve">S. Parhizi, H. Lotfi, A. Khodaei, and S. Bahramirad, “State of the Art in Research on Microgrids: A Review,” </w:t>
      </w:r>
      <w:r w:rsidRPr="007D5A87">
        <w:rPr>
          <w:i/>
          <w:iCs/>
          <w:noProof/>
          <w:sz w:val="16"/>
          <w:szCs w:val="22"/>
        </w:rPr>
        <w:t>IEEE Access</w:t>
      </w:r>
      <w:r w:rsidRPr="007D5A87">
        <w:rPr>
          <w:noProof/>
          <w:sz w:val="16"/>
          <w:szCs w:val="22"/>
        </w:rPr>
        <w:t>, vol. 3, pp. 890–925, 2015, doi: 10.1109/ACCESS.2015.2443119.</w:t>
      </w:r>
    </w:p>
    <w:p w14:paraId="1717A739" w14:textId="77777777" w:rsidR="006E1F55" w:rsidRPr="007D5A87" w:rsidRDefault="006E1F55" w:rsidP="006E1F55">
      <w:pPr>
        <w:widowControl w:val="0"/>
        <w:autoSpaceDE w:val="0"/>
        <w:autoSpaceDN w:val="0"/>
        <w:adjustRightInd w:val="0"/>
        <w:ind w:left="426" w:hanging="426"/>
        <w:jc w:val="both"/>
        <w:rPr>
          <w:noProof/>
          <w:sz w:val="16"/>
          <w:szCs w:val="22"/>
        </w:rPr>
      </w:pPr>
      <w:r w:rsidRPr="007D5A87">
        <w:rPr>
          <w:noProof/>
          <w:sz w:val="16"/>
          <w:szCs w:val="22"/>
        </w:rPr>
        <w:t>[7]</w:t>
      </w:r>
      <w:r w:rsidRPr="007D5A87">
        <w:rPr>
          <w:noProof/>
          <w:sz w:val="16"/>
          <w:szCs w:val="22"/>
        </w:rPr>
        <w:tab/>
        <w:t xml:space="preserve">S. Chowdhury, S. P. Chowdhury, and P. Crossley, </w:t>
      </w:r>
      <w:r w:rsidRPr="007D5A87">
        <w:rPr>
          <w:i/>
          <w:iCs/>
          <w:noProof/>
          <w:sz w:val="16"/>
          <w:szCs w:val="22"/>
        </w:rPr>
        <w:t>Microgrids and Active Distribution Networks</w:t>
      </w:r>
      <w:r w:rsidRPr="007D5A87">
        <w:rPr>
          <w:noProof/>
          <w:sz w:val="16"/>
          <w:szCs w:val="22"/>
        </w:rPr>
        <w:t>. Institution of Engineering and Technology, 2009.</w:t>
      </w:r>
    </w:p>
    <w:p w14:paraId="0176FA20" w14:textId="77777777" w:rsidR="006E1F55" w:rsidRPr="007D5A87" w:rsidRDefault="006E1F55" w:rsidP="006E1F55">
      <w:pPr>
        <w:widowControl w:val="0"/>
        <w:autoSpaceDE w:val="0"/>
        <w:autoSpaceDN w:val="0"/>
        <w:adjustRightInd w:val="0"/>
        <w:ind w:left="426" w:hanging="426"/>
        <w:jc w:val="both"/>
        <w:rPr>
          <w:noProof/>
          <w:sz w:val="16"/>
          <w:szCs w:val="22"/>
        </w:rPr>
      </w:pPr>
      <w:r w:rsidRPr="007D5A87">
        <w:rPr>
          <w:noProof/>
          <w:sz w:val="16"/>
          <w:szCs w:val="22"/>
        </w:rPr>
        <w:t>[8]</w:t>
      </w:r>
      <w:r w:rsidRPr="007D5A87">
        <w:rPr>
          <w:noProof/>
          <w:sz w:val="16"/>
          <w:szCs w:val="22"/>
        </w:rPr>
        <w:tab/>
        <w:t xml:space="preserve">R. Ndou, J. I. Fadiran, S. Chowdhury, and S. P. Chowdhury, “Performance comparison of voltage and frequency based loss of grid protection schemes for microgrids,” in </w:t>
      </w:r>
      <w:r w:rsidRPr="007D5A87">
        <w:rPr>
          <w:i/>
          <w:iCs/>
          <w:noProof/>
          <w:sz w:val="16"/>
          <w:szCs w:val="22"/>
        </w:rPr>
        <w:t>2013 IEEE Power &amp; Energy Society General Meeting</w:t>
      </w:r>
      <w:r w:rsidRPr="007D5A87">
        <w:rPr>
          <w:noProof/>
          <w:sz w:val="16"/>
          <w:szCs w:val="22"/>
        </w:rPr>
        <w:t>, 2013, pp. 1–5, doi: 10.1109/PESMG.2013.6672788.</w:t>
      </w:r>
    </w:p>
    <w:p w14:paraId="4C663B85" w14:textId="77777777" w:rsidR="006E1F55" w:rsidRPr="007D5A87" w:rsidRDefault="006E1F55" w:rsidP="006E1F55">
      <w:pPr>
        <w:widowControl w:val="0"/>
        <w:autoSpaceDE w:val="0"/>
        <w:autoSpaceDN w:val="0"/>
        <w:adjustRightInd w:val="0"/>
        <w:ind w:left="426" w:hanging="426"/>
        <w:jc w:val="both"/>
        <w:rPr>
          <w:noProof/>
          <w:sz w:val="16"/>
          <w:szCs w:val="22"/>
        </w:rPr>
      </w:pPr>
      <w:r w:rsidRPr="007D5A87">
        <w:rPr>
          <w:noProof/>
          <w:sz w:val="16"/>
          <w:szCs w:val="22"/>
        </w:rPr>
        <w:t>[9]</w:t>
      </w:r>
      <w:r w:rsidRPr="007D5A87">
        <w:rPr>
          <w:noProof/>
          <w:sz w:val="16"/>
          <w:szCs w:val="22"/>
        </w:rPr>
        <w:tab/>
        <w:t xml:space="preserve">S. Liu, T. Bi, A. Xue, and Q. Yang, “Fault analysis of different kinds of distributed generators,” in </w:t>
      </w:r>
      <w:r w:rsidRPr="007D5A87">
        <w:rPr>
          <w:i/>
          <w:iCs/>
          <w:noProof/>
          <w:sz w:val="16"/>
          <w:szCs w:val="22"/>
        </w:rPr>
        <w:t>2011 IEEE Power and Energy Society General Meeting</w:t>
      </w:r>
      <w:r w:rsidRPr="007D5A87">
        <w:rPr>
          <w:noProof/>
          <w:sz w:val="16"/>
          <w:szCs w:val="22"/>
        </w:rPr>
        <w:t>, Jul. 2011, pp. 1–6, doi: 10.1109/PES.2011.6039596.</w:t>
      </w:r>
    </w:p>
    <w:p w14:paraId="0906495E" w14:textId="77777777" w:rsidR="006E1F55" w:rsidRPr="007D5A87" w:rsidRDefault="006E1F55" w:rsidP="006E1F55">
      <w:pPr>
        <w:widowControl w:val="0"/>
        <w:autoSpaceDE w:val="0"/>
        <w:autoSpaceDN w:val="0"/>
        <w:adjustRightInd w:val="0"/>
        <w:ind w:left="426" w:hanging="426"/>
        <w:jc w:val="both"/>
        <w:rPr>
          <w:noProof/>
          <w:sz w:val="16"/>
          <w:szCs w:val="22"/>
        </w:rPr>
      </w:pPr>
      <w:r w:rsidRPr="007D5A87">
        <w:rPr>
          <w:noProof/>
          <w:sz w:val="16"/>
          <w:szCs w:val="22"/>
        </w:rPr>
        <w:t>[10]</w:t>
      </w:r>
      <w:r w:rsidRPr="007D5A87">
        <w:rPr>
          <w:noProof/>
          <w:sz w:val="16"/>
          <w:szCs w:val="22"/>
        </w:rPr>
        <w:tab/>
        <w:t xml:space="preserve">K. Jennett, F. Coffele, and C. Booth, “Comprehensive and quantitative analysis of protection problems associated with increasing penetration of inverter-interfaced DG,” in </w:t>
      </w:r>
      <w:r w:rsidRPr="007D5A87">
        <w:rPr>
          <w:i/>
          <w:iCs/>
          <w:noProof/>
          <w:sz w:val="16"/>
          <w:szCs w:val="22"/>
        </w:rPr>
        <w:t>11th IET International Conference on Developments in Power Systems Protection (DPSP 2012)</w:t>
      </w:r>
      <w:r w:rsidRPr="007D5A87">
        <w:rPr>
          <w:noProof/>
          <w:sz w:val="16"/>
          <w:szCs w:val="22"/>
        </w:rPr>
        <w:t>, 2012, pp. P31–P31, doi: 10.1049/cp.2012.0091.</w:t>
      </w:r>
    </w:p>
    <w:p w14:paraId="5139573D" w14:textId="77777777" w:rsidR="006E1F55" w:rsidRPr="007D5A87" w:rsidRDefault="006E1F55" w:rsidP="006E1F55">
      <w:pPr>
        <w:widowControl w:val="0"/>
        <w:autoSpaceDE w:val="0"/>
        <w:autoSpaceDN w:val="0"/>
        <w:adjustRightInd w:val="0"/>
        <w:ind w:left="426" w:hanging="426"/>
        <w:jc w:val="both"/>
        <w:rPr>
          <w:noProof/>
          <w:sz w:val="16"/>
          <w:szCs w:val="22"/>
        </w:rPr>
      </w:pPr>
      <w:r w:rsidRPr="007D5A87">
        <w:rPr>
          <w:noProof/>
          <w:sz w:val="16"/>
          <w:szCs w:val="22"/>
        </w:rPr>
        <w:t>[11]</w:t>
      </w:r>
      <w:r w:rsidRPr="007D5A87">
        <w:rPr>
          <w:noProof/>
          <w:sz w:val="16"/>
          <w:szCs w:val="22"/>
        </w:rPr>
        <w:tab/>
        <w:t xml:space="preserve">P. T. Manditereza and R. Bansal, “Renewable distributed generation: The hidden challenges – A review from the protection perspective,” </w:t>
      </w:r>
      <w:r w:rsidRPr="007D5A87">
        <w:rPr>
          <w:i/>
          <w:iCs/>
          <w:noProof/>
          <w:sz w:val="16"/>
          <w:szCs w:val="22"/>
        </w:rPr>
        <w:t>Renew. Sustain. Energy Rev.</w:t>
      </w:r>
      <w:r w:rsidRPr="007D5A87">
        <w:rPr>
          <w:noProof/>
          <w:sz w:val="16"/>
          <w:szCs w:val="22"/>
        </w:rPr>
        <w:t>, vol. 58, pp. 1457–1465, May 2016, doi: 10.1016/j.rser.2015.12.276.</w:t>
      </w:r>
    </w:p>
    <w:p w14:paraId="1FD4B2ED" w14:textId="77777777" w:rsidR="006E1F55" w:rsidRPr="007D5A87" w:rsidRDefault="006E1F55" w:rsidP="006E1F55">
      <w:pPr>
        <w:widowControl w:val="0"/>
        <w:autoSpaceDE w:val="0"/>
        <w:autoSpaceDN w:val="0"/>
        <w:adjustRightInd w:val="0"/>
        <w:ind w:left="426" w:hanging="426"/>
        <w:jc w:val="both"/>
        <w:rPr>
          <w:noProof/>
          <w:sz w:val="16"/>
          <w:szCs w:val="22"/>
        </w:rPr>
      </w:pPr>
      <w:r w:rsidRPr="007D5A87">
        <w:rPr>
          <w:noProof/>
          <w:sz w:val="16"/>
          <w:szCs w:val="22"/>
        </w:rPr>
        <w:t>[12]</w:t>
      </w:r>
      <w:r w:rsidRPr="007D5A87">
        <w:rPr>
          <w:noProof/>
          <w:sz w:val="16"/>
          <w:szCs w:val="22"/>
        </w:rPr>
        <w:tab/>
        <w:t xml:space="preserve">D. M. Bui, S.-L. Chen, K.-Y. Lien, Y.-R. Chang, Y.-D. Lee, and J.-L. Jiang, “Investigation on transient behaviours of a uni-grounded low-voltage AC microgrid and evaluation on its available fault protection methods: Review and proposals,” </w:t>
      </w:r>
      <w:r w:rsidRPr="007D5A87">
        <w:rPr>
          <w:i/>
          <w:iCs/>
          <w:noProof/>
          <w:sz w:val="16"/>
          <w:szCs w:val="22"/>
        </w:rPr>
        <w:t>Renew. Sustain. Energy Rev.</w:t>
      </w:r>
      <w:r w:rsidRPr="007D5A87">
        <w:rPr>
          <w:noProof/>
          <w:sz w:val="16"/>
          <w:szCs w:val="22"/>
        </w:rPr>
        <w:t>, vol. 75, pp. 1417–1452, Aug. 2017, doi: 10.1016/j.rser.2016.11.134.</w:t>
      </w:r>
    </w:p>
    <w:p w14:paraId="3DE0F9ED" w14:textId="77777777" w:rsidR="006E1F55" w:rsidRPr="007D5A87" w:rsidRDefault="006E1F55" w:rsidP="006E1F55">
      <w:pPr>
        <w:widowControl w:val="0"/>
        <w:autoSpaceDE w:val="0"/>
        <w:autoSpaceDN w:val="0"/>
        <w:adjustRightInd w:val="0"/>
        <w:ind w:left="426" w:hanging="426"/>
        <w:jc w:val="both"/>
        <w:rPr>
          <w:noProof/>
          <w:sz w:val="16"/>
          <w:szCs w:val="22"/>
        </w:rPr>
      </w:pPr>
      <w:r w:rsidRPr="007D5A87">
        <w:rPr>
          <w:noProof/>
          <w:sz w:val="16"/>
          <w:szCs w:val="22"/>
        </w:rPr>
        <w:t>[13]</w:t>
      </w:r>
      <w:r w:rsidRPr="007D5A87">
        <w:rPr>
          <w:noProof/>
          <w:sz w:val="16"/>
          <w:szCs w:val="22"/>
        </w:rPr>
        <w:tab/>
        <w:t xml:space="preserve">T. N. Boutsika and S. A. Papathanassiou, “Short-circuit calculations in networks with distributed generation,” </w:t>
      </w:r>
      <w:r w:rsidRPr="007D5A87">
        <w:rPr>
          <w:i/>
          <w:iCs/>
          <w:noProof/>
          <w:sz w:val="16"/>
          <w:szCs w:val="22"/>
        </w:rPr>
        <w:t>Electr. Power Syst. Res.</w:t>
      </w:r>
      <w:r w:rsidRPr="007D5A87">
        <w:rPr>
          <w:noProof/>
          <w:sz w:val="16"/>
          <w:szCs w:val="22"/>
        </w:rPr>
        <w:t>, vol. 78, no. 7, pp. 1181–1191, Jul. 2008, doi: 10.1016/j.epsr.2007.10.003.</w:t>
      </w:r>
    </w:p>
    <w:p w14:paraId="7AE0CC0A" w14:textId="77777777" w:rsidR="006E1F55" w:rsidRPr="007D5A87" w:rsidRDefault="006E1F55" w:rsidP="006E1F55">
      <w:pPr>
        <w:widowControl w:val="0"/>
        <w:autoSpaceDE w:val="0"/>
        <w:autoSpaceDN w:val="0"/>
        <w:adjustRightInd w:val="0"/>
        <w:ind w:left="426" w:hanging="426"/>
        <w:jc w:val="both"/>
        <w:rPr>
          <w:noProof/>
          <w:sz w:val="16"/>
          <w:szCs w:val="22"/>
        </w:rPr>
      </w:pPr>
      <w:r w:rsidRPr="007D5A87">
        <w:rPr>
          <w:noProof/>
          <w:sz w:val="16"/>
          <w:szCs w:val="22"/>
        </w:rPr>
        <w:t>[14]</w:t>
      </w:r>
      <w:r w:rsidRPr="007D5A87">
        <w:rPr>
          <w:noProof/>
          <w:sz w:val="16"/>
          <w:szCs w:val="22"/>
        </w:rPr>
        <w:tab/>
        <w:t xml:space="preserve">H. Margossian, G. Deconinck, and J. Sachau, “Distribution network protection considering grid code requirements for distributed generation,” </w:t>
      </w:r>
      <w:r w:rsidRPr="007D5A87">
        <w:rPr>
          <w:i/>
          <w:iCs/>
          <w:noProof/>
          <w:sz w:val="16"/>
          <w:szCs w:val="22"/>
        </w:rPr>
        <w:t>IET Gener. Transm. Distrib.</w:t>
      </w:r>
      <w:r w:rsidRPr="007D5A87">
        <w:rPr>
          <w:noProof/>
          <w:sz w:val="16"/>
          <w:szCs w:val="22"/>
        </w:rPr>
        <w:t>, vol. 9, no. 12, pp. 1377–1381, Sep. 2015, doi: 10.1049/iet-gtd.2014.0987.</w:t>
      </w:r>
    </w:p>
    <w:p w14:paraId="1D009EC3" w14:textId="77777777" w:rsidR="006E1F55" w:rsidRPr="007D5A87" w:rsidRDefault="006E1F55" w:rsidP="006E1F55">
      <w:pPr>
        <w:widowControl w:val="0"/>
        <w:autoSpaceDE w:val="0"/>
        <w:autoSpaceDN w:val="0"/>
        <w:adjustRightInd w:val="0"/>
        <w:ind w:left="426" w:hanging="426"/>
        <w:jc w:val="both"/>
        <w:rPr>
          <w:noProof/>
          <w:sz w:val="16"/>
          <w:szCs w:val="22"/>
        </w:rPr>
      </w:pPr>
      <w:r w:rsidRPr="007D5A87">
        <w:rPr>
          <w:noProof/>
          <w:sz w:val="16"/>
          <w:szCs w:val="22"/>
        </w:rPr>
        <w:t>[15]</w:t>
      </w:r>
      <w:r w:rsidRPr="007D5A87">
        <w:rPr>
          <w:noProof/>
          <w:sz w:val="16"/>
          <w:szCs w:val="22"/>
        </w:rPr>
        <w:tab/>
        <w:t xml:space="preserve">O. Núñez-Mata, R. Palma-Behnke, F. Valencia, A. Urrutia-Molina, P. Mendoza-Araya, and G. Jiménez-Estévez, “Coupling an adaptive protection system with an energy management system for microgrids,” </w:t>
      </w:r>
      <w:r w:rsidRPr="007D5A87">
        <w:rPr>
          <w:i/>
          <w:iCs/>
          <w:noProof/>
          <w:sz w:val="16"/>
          <w:szCs w:val="22"/>
        </w:rPr>
        <w:t>Electr. J.</w:t>
      </w:r>
      <w:r w:rsidRPr="007D5A87">
        <w:rPr>
          <w:noProof/>
          <w:sz w:val="16"/>
          <w:szCs w:val="22"/>
        </w:rPr>
        <w:t>, vol. 32, no. 10, p. 106675, Dec. 2019, doi: 10.1016/j.tej.2019.106675.</w:t>
      </w:r>
    </w:p>
    <w:p w14:paraId="3BD74D85" w14:textId="77777777" w:rsidR="006E1F55" w:rsidRPr="007D5A87" w:rsidRDefault="006E1F55" w:rsidP="006E1F55">
      <w:pPr>
        <w:widowControl w:val="0"/>
        <w:autoSpaceDE w:val="0"/>
        <w:autoSpaceDN w:val="0"/>
        <w:adjustRightInd w:val="0"/>
        <w:ind w:left="426" w:hanging="426"/>
        <w:jc w:val="both"/>
        <w:rPr>
          <w:noProof/>
          <w:sz w:val="16"/>
          <w:szCs w:val="22"/>
        </w:rPr>
      </w:pPr>
      <w:r w:rsidRPr="007D5A87">
        <w:rPr>
          <w:noProof/>
          <w:sz w:val="16"/>
          <w:szCs w:val="22"/>
        </w:rPr>
        <w:t>[16]</w:t>
      </w:r>
      <w:r w:rsidRPr="007D5A87">
        <w:rPr>
          <w:noProof/>
          <w:sz w:val="16"/>
          <w:szCs w:val="22"/>
        </w:rPr>
        <w:tab/>
        <w:t xml:space="preserve">M. Brucoli and T. C. Green, “Fault behaviour in islanded microgrids,” in </w:t>
      </w:r>
      <w:r w:rsidRPr="007D5A87">
        <w:rPr>
          <w:i/>
          <w:iCs/>
          <w:noProof/>
          <w:sz w:val="16"/>
          <w:szCs w:val="22"/>
        </w:rPr>
        <w:t>Proceedings of the 19th international conference on electricity distribution, CIRED</w:t>
      </w:r>
      <w:r w:rsidRPr="007D5A87">
        <w:rPr>
          <w:noProof/>
          <w:sz w:val="16"/>
          <w:szCs w:val="22"/>
        </w:rPr>
        <w:t>, 2007, pp. 0548-(1-4).</w:t>
      </w:r>
    </w:p>
    <w:p w14:paraId="4DC5C760" w14:textId="77777777" w:rsidR="006E1F55" w:rsidRPr="007D5A87" w:rsidRDefault="006E1F55" w:rsidP="006E1F55">
      <w:pPr>
        <w:widowControl w:val="0"/>
        <w:autoSpaceDE w:val="0"/>
        <w:autoSpaceDN w:val="0"/>
        <w:adjustRightInd w:val="0"/>
        <w:ind w:left="426" w:hanging="426"/>
        <w:jc w:val="both"/>
        <w:rPr>
          <w:noProof/>
          <w:sz w:val="16"/>
          <w:szCs w:val="22"/>
        </w:rPr>
      </w:pPr>
      <w:r w:rsidRPr="007D5A87">
        <w:rPr>
          <w:noProof/>
          <w:sz w:val="16"/>
          <w:szCs w:val="22"/>
        </w:rPr>
        <w:t>[17]</w:t>
      </w:r>
      <w:r w:rsidRPr="007D5A87">
        <w:rPr>
          <w:noProof/>
          <w:sz w:val="16"/>
          <w:szCs w:val="22"/>
        </w:rPr>
        <w:tab/>
        <w:t xml:space="preserve">I. K. Tarsi, A. Sheikholeslami, T. Barforoushi, and S. M. B. Sadati, “Investigating impacts of distributed generation on </w:t>
      </w:r>
      <w:r w:rsidRPr="007D5A87">
        <w:rPr>
          <w:noProof/>
          <w:sz w:val="16"/>
          <w:szCs w:val="22"/>
        </w:rPr>
        <w:lastRenderedPageBreak/>
        <w:t xml:space="preserve">distribution networks reliability: A mathematical model,” in </w:t>
      </w:r>
      <w:r w:rsidRPr="007D5A87">
        <w:rPr>
          <w:i/>
          <w:iCs/>
          <w:noProof/>
          <w:sz w:val="16"/>
          <w:szCs w:val="22"/>
        </w:rPr>
        <w:t>Proceedings of the 2010 Electric Power Quality and Supply Reliability Conference</w:t>
      </w:r>
      <w:r w:rsidRPr="007D5A87">
        <w:rPr>
          <w:noProof/>
          <w:sz w:val="16"/>
          <w:szCs w:val="22"/>
        </w:rPr>
        <w:t>, Jun. 2010, pp. 117–124, doi: 10.1109/PQ.2010.5550010.</w:t>
      </w:r>
    </w:p>
    <w:p w14:paraId="377E8278" w14:textId="77777777" w:rsidR="006E1F55" w:rsidRPr="007D5A87" w:rsidRDefault="006E1F55" w:rsidP="006E1F55">
      <w:pPr>
        <w:widowControl w:val="0"/>
        <w:autoSpaceDE w:val="0"/>
        <w:autoSpaceDN w:val="0"/>
        <w:adjustRightInd w:val="0"/>
        <w:ind w:left="426" w:hanging="426"/>
        <w:jc w:val="both"/>
        <w:rPr>
          <w:noProof/>
          <w:sz w:val="16"/>
          <w:szCs w:val="22"/>
        </w:rPr>
      </w:pPr>
      <w:r w:rsidRPr="007D5A87">
        <w:rPr>
          <w:noProof/>
          <w:sz w:val="16"/>
          <w:szCs w:val="22"/>
        </w:rPr>
        <w:t>[18]</w:t>
      </w:r>
      <w:r w:rsidRPr="007D5A87">
        <w:rPr>
          <w:noProof/>
          <w:sz w:val="16"/>
          <w:szCs w:val="22"/>
        </w:rPr>
        <w:tab/>
        <w:t xml:space="preserve">L. K. Kumpulainen and K. T. Kauhaniemi, “Analysis of the impact of distributed generation on automatic reclosing,” in </w:t>
      </w:r>
      <w:r w:rsidRPr="007D5A87">
        <w:rPr>
          <w:i/>
          <w:iCs/>
          <w:noProof/>
          <w:sz w:val="16"/>
          <w:szCs w:val="22"/>
        </w:rPr>
        <w:t>IEEE PES Power Systems Conference and Exposition, 2004.</w:t>
      </w:r>
      <w:r w:rsidRPr="007D5A87">
        <w:rPr>
          <w:noProof/>
          <w:sz w:val="16"/>
          <w:szCs w:val="22"/>
        </w:rPr>
        <w:t>, pp. 1152–1157, doi: 10.1109/PSCE.2004.1397623.</w:t>
      </w:r>
    </w:p>
    <w:p w14:paraId="0B601235" w14:textId="77777777" w:rsidR="006E1F55" w:rsidRPr="007D5A87" w:rsidRDefault="006E1F55" w:rsidP="006E1F55">
      <w:pPr>
        <w:widowControl w:val="0"/>
        <w:autoSpaceDE w:val="0"/>
        <w:autoSpaceDN w:val="0"/>
        <w:adjustRightInd w:val="0"/>
        <w:ind w:left="426" w:hanging="426"/>
        <w:jc w:val="both"/>
        <w:rPr>
          <w:noProof/>
          <w:sz w:val="16"/>
          <w:szCs w:val="22"/>
        </w:rPr>
      </w:pPr>
      <w:r w:rsidRPr="007D5A87">
        <w:rPr>
          <w:noProof/>
          <w:sz w:val="16"/>
          <w:szCs w:val="22"/>
        </w:rPr>
        <w:t>[19]</w:t>
      </w:r>
      <w:r w:rsidRPr="007D5A87">
        <w:rPr>
          <w:noProof/>
          <w:sz w:val="16"/>
          <w:szCs w:val="22"/>
        </w:rPr>
        <w:tab/>
        <w:t xml:space="preserve">A. A. Memon and K. Kauhaniemi, “A critical review of AC Microgrid protection issues and available solutions,” </w:t>
      </w:r>
      <w:r w:rsidRPr="007D5A87">
        <w:rPr>
          <w:i/>
          <w:iCs/>
          <w:noProof/>
          <w:sz w:val="16"/>
          <w:szCs w:val="22"/>
        </w:rPr>
        <w:t>Electr. Power Syst. Res.</w:t>
      </w:r>
      <w:r w:rsidRPr="007D5A87">
        <w:rPr>
          <w:noProof/>
          <w:sz w:val="16"/>
          <w:szCs w:val="22"/>
        </w:rPr>
        <w:t>, vol. 129, pp. 23–31, Dec. 2015, doi: 10.1016/j.epsr.2015.07.006.</w:t>
      </w:r>
    </w:p>
    <w:p w14:paraId="7FA74235" w14:textId="77777777" w:rsidR="006E1F55" w:rsidRPr="007D5A87" w:rsidRDefault="006E1F55" w:rsidP="006E1F55">
      <w:pPr>
        <w:widowControl w:val="0"/>
        <w:autoSpaceDE w:val="0"/>
        <w:autoSpaceDN w:val="0"/>
        <w:adjustRightInd w:val="0"/>
        <w:ind w:left="426" w:hanging="426"/>
        <w:jc w:val="both"/>
        <w:rPr>
          <w:noProof/>
          <w:sz w:val="16"/>
          <w:szCs w:val="22"/>
        </w:rPr>
      </w:pPr>
      <w:r w:rsidRPr="007D5A87">
        <w:rPr>
          <w:noProof/>
          <w:sz w:val="16"/>
          <w:szCs w:val="22"/>
        </w:rPr>
        <w:t>[20]</w:t>
      </w:r>
      <w:r w:rsidRPr="007D5A87">
        <w:rPr>
          <w:noProof/>
          <w:sz w:val="16"/>
          <w:szCs w:val="22"/>
        </w:rPr>
        <w:tab/>
        <w:t xml:space="preserve">H. A. Abdel-Ghany, A. M. Azmy, N. I. Elkalashy, and E. M. Rashad, “Optimizing DG penetration in distribution networks concerning protection schemes and technical impact,” </w:t>
      </w:r>
      <w:r w:rsidRPr="007D5A87">
        <w:rPr>
          <w:i/>
          <w:iCs/>
          <w:noProof/>
          <w:sz w:val="16"/>
          <w:szCs w:val="22"/>
        </w:rPr>
        <w:t>Electr. Power Syst. Res.</w:t>
      </w:r>
      <w:r w:rsidRPr="007D5A87">
        <w:rPr>
          <w:noProof/>
          <w:sz w:val="16"/>
          <w:szCs w:val="22"/>
        </w:rPr>
        <w:t>, vol. 128, pp. 113–122, Nov. 2015, doi: 10.1016/j.epsr.2015.07.005.</w:t>
      </w:r>
    </w:p>
    <w:p w14:paraId="4EA3EBFB" w14:textId="77777777" w:rsidR="006E1F55" w:rsidRPr="007D5A87" w:rsidRDefault="006E1F55" w:rsidP="006E1F55">
      <w:pPr>
        <w:widowControl w:val="0"/>
        <w:autoSpaceDE w:val="0"/>
        <w:autoSpaceDN w:val="0"/>
        <w:adjustRightInd w:val="0"/>
        <w:ind w:left="426" w:hanging="426"/>
        <w:jc w:val="both"/>
        <w:rPr>
          <w:noProof/>
          <w:sz w:val="16"/>
          <w:szCs w:val="22"/>
        </w:rPr>
      </w:pPr>
      <w:r w:rsidRPr="007D5A87">
        <w:rPr>
          <w:noProof/>
          <w:sz w:val="16"/>
          <w:szCs w:val="22"/>
        </w:rPr>
        <w:t>[21]</w:t>
      </w:r>
      <w:r w:rsidRPr="007D5A87">
        <w:rPr>
          <w:noProof/>
          <w:sz w:val="16"/>
          <w:szCs w:val="22"/>
        </w:rPr>
        <w:tab/>
        <w:t xml:space="preserve">S. Chaitusaney and A. Yokoyama, “An Appropriate Distributed Generation Sizing Considering Recloser-Fuse Coordination,” in </w:t>
      </w:r>
      <w:r w:rsidRPr="007D5A87">
        <w:rPr>
          <w:i/>
          <w:iCs/>
          <w:noProof/>
          <w:sz w:val="16"/>
          <w:szCs w:val="22"/>
        </w:rPr>
        <w:t>2005 IEEE/PES Transmission &amp;amp; Distribution Conference &amp;amp; Exposition: Asia and Pacific</w:t>
      </w:r>
      <w:r w:rsidRPr="007D5A87">
        <w:rPr>
          <w:noProof/>
          <w:sz w:val="16"/>
          <w:szCs w:val="22"/>
        </w:rPr>
        <w:t>, pp. 1–6, doi: 10.1109/TDC.2005.1546838.</w:t>
      </w:r>
    </w:p>
    <w:p w14:paraId="01A0D86D" w14:textId="77777777" w:rsidR="006E1F55" w:rsidRPr="007D5A87" w:rsidRDefault="006E1F55" w:rsidP="006E1F55">
      <w:pPr>
        <w:widowControl w:val="0"/>
        <w:autoSpaceDE w:val="0"/>
        <w:autoSpaceDN w:val="0"/>
        <w:adjustRightInd w:val="0"/>
        <w:ind w:left="426" w:hanging="426"/>
        <w:jc w:val="both"/>
        <w:rPr>
          <w:noProof/>
          <w:sz w:val="16"/>
          <w:szCs w:val="22"/>
        </w:rPr>
      </w:pPr>
      <w:r w:rsidRPr="007D5A87">
        <w:rPr>
          <w:noProof/>
          <w:sz w:val="16"/>
          <w:szCs w:val="22"/>
        </w:rPr>
        <w:t>[22]</w:t>
      </w:r>
      <w:r w:rsidRPr="007D5A87">
        <w:rPr>
          <w:noProof/>
          <w:sz w:val="16"/>
          <w:szCs w:val="22"/>
        </w:rPr>
        <w:tab/>
        <w:t xml:space="preserve">H. H. Zeineldin, Y. A.-R. I. Mohamed, V. Khadkikar, and V. R. Pandi, “A Protection Coordination Index for Evaluating Distributed Generation Impacts on Protection for Meshed Distribution Systems,” </w:t>
      </w:r>
      <w:r w:rsidRPr="007D5A87">
        <w:rPr>
          <w:i/>
          <w:iCs/>
          <w:noProof/>
          <w:sz w:val="16"/>
          <w:szCs w:val="22"/>
        </w:rPr>
        <w:t>IEEE Trans. Smart Grid</w:t>
      </w:r>
      <w:r w:rsidRPr="007D5A87">
        <w:rPr>
          <w:noProof/>
          <w:sz w:val="16"/>
          <w:szCs w:val="22"/>
        </w:rPr>
        <w:t>, vol. 4, no. 3, pp. 1523–1532, Sep. 2013, doi: 10.1109/TSG.2013.2263745.</w:t>
      </w:r>
    </w:p>
    <w:p w14:paraId="129B71B7" w14:textId="77777777" w:rsidR="006E1F55" w:rsidRPr="007D5A87" w:rsidRDefault="006E1F55" w:rsidP="006E1F55">
      <w:pPr>
        <w:widowControl w:val="0"/>
        <w:autoSpaceDE w:val="0"/>
        <w:autoSpaceDN w:val="0"/>
        <w:adjustRightInd w:val="0"/>
        <w:ind w:left="426" w:hanging="426"/>
        <w:jc w:val="both"/>
        <w:rPr>
          <w:noProof/>
          <w:sz w:val="16"/>
          <w:szCs w:val="22"/>
        </w:rPr>
      </w:pPr>
      <w:r w:rsidRPr="007D5A87">
        <w:rPr>
          <w:noProof/>
          <w:sz w:val="16"/>
          <w:szCs w:val="22"/>
        </w:rPr>
        <w:t>[23]</w:t>
      </w:r>
      <w:r w:rsidRPr="007D5A87">
        <w:rPr>
          <w:noProof/>
          <w:sz w:val="16"/>
          <w:szCs w:val="22"/>
        </w:rPr>
        <w:tab/>
        <w:t xml:space="preserve">D. Eltigani and S. Masri, “Challenges of integrating renewable energy sources to smart grids: A review,” </w:t>
      </w:r>
      <w:r w:rsidRPr="007D5A87">
        <w:rPr>
          <w:i/>
          <w:iCs/>
          <w:noProof/>
          <w:sz w:val="16"/>
          <w:szCs w:val="22"/>
        </w:rPr>
        <w:t>Renew. Sustain. Energy Rev.</w:t>
      </w:r>
      <w:r w:rsidRPr="007D5A87">
        <w:rPr>
          <w:noProof/>
          <w:sz w:val="16"/>
          <w:szCs w:val="22"/>
        </w:rPr>
        <w:t>, vol. 52, pp. 770–780, Dec. 2015, doi: 10.1016/j.rser.2015.07.140.</w:t>
      </w:r>
    </w:p>
    <w:p w14:paraId="70664216" w14:textId="77777777" w:rsidR="006E1F55" w:rsidRPr="007D5A87" w:rsidRDefault="006E1F55" w:rsidP="006E1F55">
      <w:pPr>
        <w:widowControl w:val="0"/>
        <w:autoSpaceDE w:val="0"/>
        <w:autoSpaceDN w:val="0"/>
        <w:adjustRightInd w:val="0"/>
        <w:ind w:left="426" w:hanging="426"/>
        <w:jc w:val="both"/>
        <w:rPr>
          <w:noProof/>
          <w:sz w:val="16"/>
          <w:szCs w:val="22"/>
        </w:rPr>
      </w:pPr>
      <w:r w:rsidRPr="007D5A87">
        <w:rPr>
          <w:noProof/>
          <w:sz w:val="16"/>
          <w:szCs w:val="22"/>
        </w:rPr>
        <w:t>[24]</w:t>
      </w:r>
      <w:r w:rsidRPr="007D5A87">
        <w:rPr>
          <w:noProof/>
          <w:sz w:val="16"/>
          <w:szCs w:val="22"/>
        </w:rPr>
        <w:tab/>
        <w:t xml:space="preserve">M. M. Eissa (SIEEE), “Protection techniques with renewable resources and smart grids—A survey,” </w:t>
      </w:r>
      <w:r w:rsidRPr="007D5A87">
        <w:rPr>
          <w:i/>
          <w:iCs/>
          <w:noProof/>
          <w:sz w:val="16"/>
          <w:szCs w:val="22"/>
        </w:rPr>
        <w:t>Renew. Sustain. Energy Rev.</w:t>
      </w:r>
      <w:r w:rsidRPr="007D5A87">
        <w:rPr>
          <w:noProof/>
          <w:sz w:val="16"/>
          <w:szCs w:val="22"/>
        </w:rPr>
        <w:t>, vol. 52, pp. 1645–1667, Dec. 2015, doi: 10.1016/j.rser.2015.08.031.</w:t>
      </w:r>
    </w:p>
    <w:p w14:paraId="54539B97" w14:textId="1D86DB9A" w:rsidR="006E1F55" w:rsidRPr="00416737" w:rsidRDefault="006E1F55" w:rsidP="00416737">
      <w:pPr>
        <w:widowControl w:val="0"/>
        <w:autoSpaceDE w:val="0"/>
        <w:autoSpaceDN w:val="0"/>
        <w:adjustRightInd w:val="0"/>
        <w:ind w:left="426" w:hanging="426"/>
        <w:jc w:val="both"/>
        <w:rPr>
          <w:color w:val="000000"/>
        </w:rPr>
      </w:pPr>
      <w:r w:rsidRPr="007D5A87">
        <w:rPr>
          <w:noProof/>
          <w:sz w:val="16"/>
          <w:szCs w:val="22"/>
        </w:rPr>
        <w:t>[25]</w:t>
      </w:r>
      <w:r w:rsidRPr="007D5A87">
        <w:rPr>
          <w:noProof/>
          <w:sz w:val="16"/>
          <w:szCs w:val="22"/>
        </w:rPr>
        <w:tab/>
        <w:t xml:space="preserve">A. Oudalov </w:t>
      </w:r>
      <w:r w:rsidRPr="007D5A87">
        <w:rPr>
          <w:i/>
          <w:iCs/>
          <w:noProof/>
          <w:sz w:val="16"/>
          <w:szCs w:val="22"/>
        </w:rPr>
        <w:t>et al.</w:t>
      </w:r>
      <w:r w:rsidRPr="007D5A87">
        <w:rPr>
          <w:noProof/>
          <w:sz w:val="16"/>
          <w:szCs w:val="22"/>
        </w:rPr>
        <w:t>, “Novel Protection Systems for Microgrids,” 2009. [Online]. Available: http://www.microgrids.eu/documents/688.pdf.</w:t>
      </w:r>
      <w:r w:rsidRPr="007D5A87">
        <w:rPr>
          <w:color w:val="000000"/>
          <w:sz w:val="16"/>
          <w:szCs w:val="16"/>
        </w:rPr>
        <w:fldChar w:fldCharType="end"/>
      </w:r>
    </w:p>
    <w:p w14:paraId="2684CBB8" w14:textId="59A3597E" w:rsidR="006E1F55" w:rsidRDefault="006E1F55" w:rsidP="006E1F55">
      <w:pPr>
        <w:widowControl w:val="0"/>
        <w:autoSpaceDE w:val="0"/>
        <w:autoSpaceDN w:val="0"/>
        <w:adjustRightInd w:val="0"/>
        <w:ind w:left="426" w:hanging="426"/>
        <w:jc w:val="both"/>
        <w:rPr>
          <w:color w:val="000000"/>
        </w:rPr>
      </w:pPr>
    </w:p>
    <w:p w14:paraId="6AAD199A" w14:textId="77777777" w:rsidR="00416737" w:rsidRPr="006E1F55" w:rsidRDefault="00416737" w:rsidP="006E1F55">
      <w:pPr>
        <w:widowControl w:val="0"/>
        <w:autoSpaceDE w:val="0"/>
        <w:autoSpaceDN w:val="0"/>
        <w:adjustRightInd w:val="0"/>
        <w:ind w:left="426" w:hanging="426"/>
        <w:jc w:val="both"/>
        <w:rPr>
          <w:color w:val="000000"/>
        </w:rPr>
      </w:pPr>
    </w:p>
    <w:p w14:paraId="4685DD3A" w14:textId="7AE9ACEE" w:rsidR="00D7478D" w:rsidRDefault="00D7478D">
      <w:pPr>
        <w:rPr>
          <w:rStyle w:val="apple-style-span"/>
          <w:b/>
          <w:color w:val="000000"/>
          <w:lang w:val="pt-BR"/>
        </w:rPr>
      </w:pPr>
    </w:p>
    <w:sectPr w:rsidR="00D7478D" w:rsidSect="002A276C">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BA753" w14:textId="77777777" w:rsidR="00121443" w:rsidRDefault="00121443">
      <w:r>
        <w:separator/>
      </w:r>
    </w:p>
  </w:endnote>
  <w:endnote w:type="continuationSeparator" w:id="0">
    <w:p w14:paraId="17C2722D" w14:textId="77777777" w:rsidR="00121443" w:rsidRDefault="0012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NimbusRomNo9L-Medi">
    <w:altName w:val="Cambria"/>
    <w:panose1 w:val="020B0604020202020204"/>
    <w:charset w:val="00"/>
    <w:family w:val="roman"/>
    <w:notTrueType/>
    <w:pitch w:val="default"/>
  </w:font>
  <w:font w:name="NimbusRomNo9L-Regu">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2BC2" w14:textId="5631BC0F" w:rsidR="00097958" w:rsidRPr="003D5B84" w:rsidRDefault="0005014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70016" behindDoc="0" locked="0" layoutInCell="1" allowOverlap="1" wp14:anchorId="307E942D" wp14:editId="5F14731A">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53135" id="Line 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"/>
          </w:pict>
        </mc:Fallback>
      </mc:AlternateContent>
    </w:r>
    <w:r w:rsidR="000469F4">
      <w:rPr>
        <w:noProof/>
      </w:rPr>
      <w:t>IJICI</w:t>
    </w:r>
    <w:r w:rsidR="00784C44" w:rsidRPr="00E619D6">
      <w:t xml:space="preserve">, </w:t>
    </w:r>
    <w:r w:rsidR="00097958" w:rsidRPr="00E619D6">
      <w:t xml:space="preserve">Vol. </w:t>
    </w:r>
    <w:r w:rsidR="006E1F55">
      <w:t>99</w:t>
    </w:r>
    <w:r w:rsidR="00097958" w:rsidRPr="00E619D6">
      <w:t xml:space="preserve">, No. </w:t>
    </w:r>
    <w:r w:rsidR="006E1F55">
      <w:t>1</w:t>
    </w:r>
    <w:r w:rsidR="0055343D" w:rsidRPr="00E619D6">
      <w:t xml:space="preserve">, </w:t>
    </w:r>
    <w:r w:rsidR="00A45398" w:rsidRPr="00735BBC">
      <w:t>Month</w:t>
    </w:r>
    <w:r w:rsidR="003A2810" w:rsidRPr="00735BBC">
      <w:t xml:space="preserve"> </w:t>
    </w:r>
    <w:r w:rsidR="003E4DD5" w:rsidRPr="00735BBC">
      <w:t>20</w:t>
    </w:r>
    <w:r w:rsidR="006E1F55">
      <w:t>99</w:t>
    </w:r>
    <w:r w:rsidR="00E305A0" w:rsidRPr="00735BBC">
      <w:t>:</w:t>
    </w:r>
    <w:r w:rsidR="00097958" w:rsidRPr="00735BBC">
      <w:t xml:space="preserve"> </w:t>
    </w:r>
    <w:r w:rsidR="006E1F55">
      <w:t>1</w:t>
    </w:r>
    <w:r w:rsidR="00BB48F9" w:rsidRPr="00735BBC">
      <w:t>-</w:t>
    </w:r>
    <w:r w:rsidR="006E1F55">
      <w:t>1x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B96C" w14:textId="2CA8CBE9" w:rsidR="00097958" w:rsidRPr="00C07BEF" w:rsidRDefault="00DA3BBA" w:rsidP="00DA3BBA">
    <w:pPr>
      <w:pStyle w:val="Footer"/>
      <w:jc w:val="right"/>
      <w:rPr>
        <w:i/>
      </w:rPr>
    </w:pPr>
    <w:r>
      <w:rPr>
        <w:noProof/>
      </w:rPr>
      <mc:AlternateContent>
        <mc:Choice Requires="wps">
          <w:drawing>
            <wp:anchor distT="0" distB="0" distL="114300" distR="114300" simplePos="0" relativeHeight="251657216" behindDoc="0" locked="0" layoutInCell="1" allowOverlap="1" wp14:anchorId="62A3734C" wp14:editId="2E9084F0">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3ABD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"/>
          </w:pict>
        </mc:Fallback>
      </mc:AlternateContent>
    </w:r>
    <w:r w:rsidR="00354A58" w:rsidRPr="00552051">
      <w:rPr>
        <w:i/>
        <w:iCs/>
        <w:noProof/>
      </w:rPr>
      <w:t>Paper’s should be the fewest possible</w:t>
    </w:r>
    <w:r w:rsidR="00354A58">
      <w:rPr>
        <w:i/>
        <w:iCs/>
        <w:noProof/>
      </w:rPr>
      <w:t xml:space="preserve"> </w:t>
    </w:r>
    <w:r w:rsidR="00354A58" w:rsidRPr="00552051">
      <w:rPr>
        <w:i/>
        <w:iCs/>
        <w:noProof/>
      </w:rPr>
      <w:t xml:space="preserve">that accurately describe </w:t>
    </w:r>
    <w:r w:rsidR="00354A58">
      <w:rPr>
        <w:i/>
      </w:rPr>
      <w:t>…</w:t>
    </w:r>
    <w:r w:rsidR="00354A58" w:rsidRPr="00C07BEF">
      <w:rPr>
        <w:i/>
      </w:rPr>
      <w:t xml:space="preserve"> </w:t>
    </w:r>
    <w:r w:rsidR="00EE10AE" w:rsidRPr="00C07BEF">
      <w:rPr>
        <w:i/>
      </w:rPr>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377A" w14:textId="40592268" w:rsidR="000469F4" w:rsidRPr="003D5B84" w:rsidRDefault="00453F49" w:rsidP="000469F4">
    <w:pPr>
      <w:pStyle w:val="Footer"/>
      <w:spacing w:before="240"/>
      <w:rPr>
        <w:i/>
        <w:szCs w:val="18"/>
      </w:rPr>
    </w:pPr>
    <w:r>
      <w:rPr>
        <w:noProof/>
      </w:rPr>
      <mc:AlternateContent>
        <mc:Choice Requires="wps">
          <w:drawing>
            <wp:anchor distT="0" distB="0" distL="114300" distR="114300" simplePos="0" relativeHeight="251659264" behindDoc="0" locked="0" layoutInCell="1" allowOverlap="1" wp14:anchorId="066E0B6C" wp14:editId="04BDC7AF">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FA184"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854C1">
      <w:rPr>
        <w:b/>
        <w:i/>
        <w:szCs w:val="18"/>
      </w:rPr>
      <w:t>Journal homepage</w:t>
    </w:r>
    <w:r w:rsidR="00C854C1">
      <w:rPr>
        <w:i/>
        <w:szCs w:val="18"/>
      </w:rPr>
      <w:t xml:space="preserve">: </w:t>
    </w:r>
    <w:r w:rsidR="00A15523" w:rsidRPr="002A2485">
      <w:rPr>
        <w:i/>
        <w:szCs w:val="18"/>
      </w:rPr>
      <w:t>http://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3123B" w14:textId="77777777" w:rsidR="00121443" w:rsidRDefault="00121443">
      <w:r>
        <w:separator/>
      </w:r>
    </w:p>
  </w:footnote>
  <w:footnote w:type="continuationSeparator" w:id="0">
    <w:p w14:paraId="2C532EFD" w14:textId="77777777" w:rsidR="00121443" w:rsidRDefault="00121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E139" w14:textId="77777777" w:rsidR="00097958" w:rsidRPr="003D5B84" w:rsidRDefault="00C3666D" w:rsidP="00BD2B86">
    <w:pPr>
      <w:pStyle w:val="Header"/>
      <w:framePr w:wrap="around" w:vAnchor="text" w:hAnchor="page" w:x="1697" w:y="-2"/>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102</w:t>
    </w:r>
    <w:r w:rsidRPr="003D5B84">
      <w:rPr>
        <w:rStyle w:val="PageNumber"/>
      </w:rPr>
      <w:fldChar w:fldCharType="end"/>
    </w:r>
  </w:p>
  <w:p w14:paraId="7F150106" w14:textId="162CE916"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5168" behindDoc="0" locked="0" layoutInCell="1" allowOverlap="1" wp14:anchorId="36240665" wp14:editId="3438703A">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BCC9E6"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9E1962" w:rsidRPr="009E1962">
      <w:t>2791-2868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BB40"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103</w:t>
    </w:r>
    <w:r w:rsidRPr="003D5B84">
      <w:rPr>
        <w:rStyle w:val="PageNumber"/>
      </w:rPr>
      <w:fldChar w:fldCharType="end"/>
    </w:r>
  </w:p>
  <w:p w14:paraId="72D04B55" w14:textId="68565683" w:rsidR="00097958" w:rsidRPr="003D5B84" w:rsidRDefault="000469F4" w:rsidP="00222701">
    <w:pPr>
      <w:pStyle w:val="Header"/>
      <w:tabs>
        <w:tab w:val="clear" w:pos="4320"/>
        <w:tab w:val="clear" w:pos="8640"/>
        <w:tab w:val="left" w:pos="0"/>
        <w:tab w:val="center" w:pos="4301"/>
        <w:tab w:val="left" w:pos="7938"/>
      </w:tabs>
    </w:pPr>
    <w:r>
      <w:rPr>
        <w:noProof/>
      </w:rPr>
      <w:t>IJICI</w:t>
    </w:r>
    <w:r w:rsidR="00097958" w:rsidRPr="003D5B84">
      <w:t xml:space="preserve"> </w:t>
    </w:r>
    <w:r w:rsidR="00097958" w:rsidRPr="003D5B84">
      <w:tab/>
      <w:t>ISSN:</w:t>
    </w:r>
    <w:r w:rsidR="004F4003">
      <w:t xml:space="preserve"> </w:t>
    </w:r>
    <w:r w:rsidR="009E1962" w:rsidRPr="009E1962">
      <w:t>2791-2868</w:t>
    </w:r>
    <w:r w:rsidR="00EF1185" w:rsidRPr="003D5B84">
      <w:tab/>
    </w:r>
    <w:r w:rsidR="00C854C1">
      <w:sym w:font="Wingdings" w:char="F072"/>
    </w:r>
  </w:p>
  <w:p w14:paraId="3BE6E7DA" w14:textId="7CB50A32" w:rsidR="00097958" w:rsidRPr="003D5B84" w:rsidRDefault="00222701" w:rsidP="0094367D">
    <w:pPr>
      <w:pStyle w:val="Header"/>
      <w:ind w:right="360" w:firstLine="360"/>
    </w:pPr>
    <w:r>
      <w:rPr>
        <w:noProof/>
      </w:rPr>
      <mc:AlternateContent>
        <mc:Choice Requires="wps">
          <w:drawing>
            <wp:anchor distT="0" distB="0" distL="114300" distR="114300" simplePos="0" relativeHeight="251658240" behindDoc="0" locked="0" layoutInCell="1" allowOverlap="1" wp14:anchorId="485510DB" wp14:editId="74363822">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19B814"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ADC5" w14:textId="4DA05E59" w:rsidR="00A15523" w:rsidRDefault="00B773BD" w:rsidP="00B773BD">
    <w:pPr>
      <w:pStyle w:val="Header"/>
      <w:tabs>
        <w:tab w:val="clear" w:pos="4320"/>
        <w:tab w:val="clear" w:pos="8640"/>
      </w:tabs>
      <w:ind w:right="45"/>
      <w:rPr>
        <w:b/>
        <w:bCs/>
      </w:rPr>
    </w:pPr>
    <w:r>
      <w:rPr>
        <w:b/>
        <w:noProof/>
        <w:sz w:val="24"/>
        <w:szCs w:val="24"/>
      </w:rPr>
      <w:drawing>
        <wp:anchor distT="0" distB="0" distL="114300" distR="114300" simplePos="0" relativeHeight="251672064" behindDoc="0" locked="0" layoutInCell="1" allowOverlap="1" wp14:anchorId="4CD9754C" wp14:editId="2DA32D76">
          <wp:simplePos x="0" y="0"/>
          <wp:positionH relativeFrom="column">
            <wp:posOffset>4211320</wp:posOffset>
          </wp:positionH>
          <wp:positionV relativeFrom="paragraph">
            <wp:posOffset>-193838</wp:posOffset>
          </wp:positionV>
          <wp:extent cx="1383738" cy="670560"/>
          <wp:effectExtent l="0" t="0" r="0" b="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24620"/>
                  <a:stretch/>
                </pic:blipFill>
                <pic:spPr bwMode="auto">
                  <a:xfrm>
                    <a:off x="0" y="0"/>
                    <a:ext cx="1383738" cy="670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69F4" w:rsidRPr="000469F4">
      <w:rPr>
        <w:b/>
      </w:rPr>
      <w:t>Iraqi Journal of Intelligent Computing</w:t>
    </w:r>
    <w:r w:rsidR="00D5067F">
      <w:rPr>
        <w:b/>
        <w:lang w:val="en-AU"/>
      </w:rPr>
      <w:t xml:space="preserve"> and</w:t>
    </w:r>
    <w:r w:rsidR="000469F4" w:rsidRPr="000469F4">
      <w:rPr>
        <w:b/>
      </w:rPr>
      <w:t xml:space="preserve"> Informatics </w:t>
    </w:r>
    <w:r w:rsidR="00A15523" w:rsidRPr="005E2339">
      <w:rPr>
        <w:b/>
      </w:rPr>
      <w:t>(</w:t>
    </w:r>
    <w:r w:rsidR="000469F4">
      <w:rPr>
        <w:b/>
      </w:rPr>
      <w:t>IJICI</w:t>
    </w:r>
    <w:r w:rsidR="00A15523">
      <w:rPr>
        <w:b/>
      </w:rPr>
      <w:t>)</w:t>
    </w:r>
  </w:p>
  <w:p w14:paraId="69794571" w14:textId="16824636" w:rsidR="00A15523" w:rsidRPr="003D5B84" w:rsidRDefault="00A15523" w:rsidP="00A15523">
    <w:pPr>
      <w:pStyle w:val="Header"/>
      <w:tabs>
        <w:tab w:val="clear" w:pos="4320"/>
        <w:tab w:val="clear" w:pos="8640"/>
      </w:tabs>
      <w:ind w:right="45"/>
    </w:pPr>
    <w:r w:rsidRPr="003D5B84">
      <w:t>Vol.</w:t>
    </w:r>
    <w:r>
      <w:t xml:space="preserve"> </w:t>
    </w:r>
    <w:r w:rsidR="00F96EFA">
      <w:t>1</w:t>
    </w:r>
    <w:r w:rsidRPr="003D5B84">
      <w:t xml:space="preserve">, </w:t>
    </w:r>
    <w:r w:rsidR="00F96EFA">
      <w:t>1</w:t>
    </w:r>
    <w:r w:rsidRPr="003D5B84">
      <w:t>.</w:t>
    </w:r>
    <w:r>
      <w:t xml:space="preserve"> </w:t>
    </w:r>
    <w:r w:rsidR="006E1F55">
      <w:t>1</w:t>
    </w:r>
    <w:r w:rsidRPr="003D5B84">
      <w:t xml:space="preserve">, </w:t>
    </w:r>
    <w:r>
      <w:rPr>
        <w:lang w:val="id-ID"/>
      </w:rPr>
      <w:t>Month</w:t>
    </w:r>
    <w:r w:rsidRPr="003D5B84">
      <w:t xml:space="preserve"> </w:t>
    </w:r>
    <w:r>
      <w:t>20</w:t>
    </w:r>
    <w:r w:rsidR="006E1F55">
      <w:t>99</w:t>
    </w:r>
    <w:r w:rsidRPr="003D5B84">
      <w:t xml:space="preserve">, pp. </w:t>
    </w:r>
    <w:r w:rsidR="006E1F55">
      <w:t>1</w:t>
    </w:r>
    <w:r w:rsidRPr="003D5B84">
      <w:t>~</w:t>
    </w:r>
    <w:r w:rsidR="006E1F55">
      <w:t>1x</w:t>
    </w:r>
  </w:p>
  <w:p w14:paraId="2A371CCD" w14:textId="43E14C7D" w:rsidR="00097958" w:rsidRDefault="00A15523" w:rsidP="00A15523">
    <w:pPr>
      <w:pStyle w:val="Header"/>
      <w:tabs>
        <w:tab w:val="clear" w:pos="4320"/>
        <w:tab w:val="clear" w:pos="8640"/>
        <w:tab w:val="left" w:pos="7938"/>
        <w:tab w:val="right" w:pos="8789"/>
      </w:tabs>
      <w:rPr>
        <w:rStyle w:val="PageNumber"/>
      </w:rPr>
    </w:pPr>
    <w:r w:rsidRPr="005E2339">
      <w:t xml:space="preserve">ISSN: </w:t>
    </w:r>
    <w:r w:rsidR="009E1962" w:rsidRPr="009E1962">
      <w:t>2791-2868</w:t>
    </w:r>
    <w:r w:rsidRPr="005E2339">
      <w:rPr>
        <w:lang w:val="id-ID"/>
      </w:rPr>
      <w:t>,</w:t>
    </w:r>
    <w:r w:rsidRPr="005E2339">
      <w:t xml:space="preserve"> DOI: </w:t>
    </w:r>
    <w:proofErr w:type="spellStart"/>
    <w:r w:rsidR="00F96EFA">
      <w:t>xxxxxxx</w:t>
    </w:r>
    <w:proofErr w:type="spellEnd"/>
    <w:r w:rsidR="008B060F" w:rsidRPr="003D5B84">
      <w:tab/>
    </w:r>
    <w:r w:rsidR="00C854C1">
      <w:sym w:font="Wingdings" w:char="F072"/>
    </w:r>
    <w:r w:rsidR="00097958" w:rsidRPr="003D5B84">
      <w:t xml:space="preserve">   </w:t>
    </w:r>
    <w:r w:rsidR="00855965" w:rsidRPr="003D5B84">
      <w:t xml:space="preserve"> </w:t>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656AAA">
      <w:rPr>
        <w:rStyle w:val="PageNumber"/>
        <w:noProof/>
      </w:rPr>
      <w:t>101</w:t>
    </w:r>
    <w:r w:rsidR="00C3666D" w:rsidRPr="003D5B84">
      <w:rPr>
        <w:rStyle w:val="PageNumber"/>
      </w:rPr>
      <w:fldChar w:fldCharType="end"/>
    </w:r>
    <w:r w:rsidR="00050148">
      <w:rPr>
        <w:noProof/>
      </w:rPr>
      <mc:AlternateContent>
        <mc:Choice Requires="wps">
          <w:drawing>
            <wp:anchor distT="0" distB="0" distL="114300" distR="114300" simplePos="0" relativeHeight="251660800" behindDoc="0" locked="0" layoutInCell="1" allowOverlap="1" wp14:anchorId="480481AD" wp14:editId="7948B28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09D9AE"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3D5B84">
      <w:rPr>
        <w:rStyle w:val="PageNumber"/>
      </w:rPr>
      <w:tab/>
    </w:r>
  </w:p>
  <w:p w14:paraId="0F8E6846" w14:textId="77777777" w:rsidR="00E77E1F" w:rsidRPr="003D5B84" w:rsidRDefault="00E77E1F" w:rsidP="00E77E1F">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860970760">
    <w:abstractNumId w:val="15"/>
  </w:num>
  <w:num w:numId="2" w16cid:durableId="1011445940">
    <w:abstractNumId w:val="9"/>
  </w:num>
  <w:num w:numId="3" w16cid:durableId="1304457654">
    <w:abstractNumId w:val="19"/>
  </w:num>
  <w:num w:numId="4" w16cid:durableId="80027826">
    <w:abstractNumId w:val="8"/>
  </w:num>
  <w:num w:numId="5" w16cid:durableId="1710253583">
    <w:abstractNumId w:val="12"/>
  </w:num>
  <w:num w:numId="6" w16cid:durableId="1114054542">
    <w:abstractNumId w:val="16"/>
  </w:num>
  <w:num w:numId="7" w16cid:durableId="1949508720">
    <w:abstractNumId w:val="13"/>
  </w:num>
  <w:num w:numId="8" w16cid:durableId="1926765770">
    <w:abstractNumId w:val="10"/>
  </w:num>
  <w:num w:numId="9" w16cid:durableId="1009412456">
    <w:abstractNumId w:val="6"/>
  </w:num>
  <w:num w:numId="10" w16cid:durableId="1920748710">
    <w:abstractNumId w:val="1"/>
  </w:num>
  <w:num w:numId="11" w16cid:durableId="651059535">
    <w:abstractNumId w:val="0"/>
  </w:num>
  <w:num w:numId="12" w16cid:durableId="708843951">
    <w:abstractNumId w:val="3"/>
  </w:num>
  <w:num w:numId="13" w16cid:durableId="367217074">
    <w:abstractNumId w:val="2"/>
  </w:num>
  <w:num w:numId="14" w16cid:durableId="1281957579">
    <w:abstractNumId w:val="4"/>
  </w:num>
  <w:num w:numId="15" w16cid:durableId="649988346">
    <w:abstractNumId w:val="18"/>
  </w:num>
  <w:num w:numId="16" w16cid:durableId="1579628550">
    <w:abstractNumId w:val="5"/>
  </w:num>
  <w:num w:numId="17" w16cid:durableId="99645659">
    <w:abstractNumId w:val="17"/>
  </w:num>
  <w:num w:numId="18" w16cid:durableId="7254953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7567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2376152">
    <w:abstractNumId w:val="14"/>
  </w:num>
  <w:num w:numId="21" w16cid:durableId="301231346">
    <w:abstractNumId w:val="7"/>
  </w:num>
  <w:num w:numId="22" w16cid:durableId="112815913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69F4"/>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1820"/>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4B17"/>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279B"/>
    <w:rsid w:val="000F29E1"/>
    <w:rsid w:val="000F61E2"/>
    <w:rsid w:val="000F6808"/>
    <w:rsid w:val="000F703D"/>
    <w:rsid w:val="000F718B"/>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7326"/>
    <w:rsid w:val="00117C85"/>
    <w:rsid w:val="001212B3"/>
    <w:rsid w:val="0012144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17E4"/>
    <w:rsid w:val="00151E7C"/>
    <w:rsid w:val="00153387"/>
    <w:rsid w:val="00153B62"/>
    <w:rsid w:val="00153D77"/>
    <w:rsid w:val="00154C55"/>
    <w:rsid w:val="00157C06"/>
    <w:rsid w:val="00161845"/>
    <w:rsid w:val="00162849"/>
    <w:rsid w:val="001643CB"/>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64A"/>
    <w:rsid w:val="00204A25"/>
    <w:rsid w:val="0020608E"/>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7072"/>
    <w:rsid w:val="0043585C"/>
    <w:rsid w:val="00441F35"/>
    <w:rsid w:val="00443205"/>
    <w:rsid w:val="004439D2"/>
    <w:rsid w:val="004503E9"/>
    <w:rsid w:val="00453463"/>
    <w:rsid w:val="00453F49"/>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77"/>
    <w:rsid w:val="004F0FEA"/>
    <w:rsid w:val="004F101E"/>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F042D"/>
    <w:rsid w:val="005F227D"/>
    <w:rsid w:val="005F3D1C"/>
    <w:rsid w:val="005F534C"/>
    <w:rsid w:val="005F75F8"/>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B9E"/>
    <w:rsid w:val="006F7480"/>
    <w:rsid w:val="006F7DB3"/>
    <w:rsid w:val="0070124C"/>
    <w:rsid w:val="00701426"/>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5BBC"/>
    <w:rsid w:val="00740C36"/>
    <w:rsid w:val="00741A8F"/>
    <w:rsid w:val="00742008"/>
    <w:rsid w:val="00743BA0"/>
    <w:rsid w:val="00747DFD"/>
    <w:rsid w:val="00753C3E"/>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0BFC"/>
    <w:rsid w:val="008042C8"/>
    <w:rsid w:val="00805CFD"/>
    <w:rsid w:val="00807F15"/>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778A0"/>
    <w:rsid w:val="0088233C"/>
    <w:rsid w:val="0088280A"/>
    <w:rsid w:val="00883EB7"/>
    <w:rsid w:val="00884999"/>
    <w:rsid w:val="0089284C"/>
    <w:rsid w:val="00892C9F"/>
    <w:rsid w:val="00892FBD"/>
    <w:rsid w:val="00893AD8"/>
    <w:rsid w:val="00893D2C"/>
    <w:rsid w:val="00894D11"/>
    <w:rsid w:val="0089523F"/>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4B71"/>
    <w:rsid w:val="008D7EA2"/>
    <w:rsid w:val="008E0F80"/>
    <w:rsid w:val="008E1CA4"/>
    <w:rsid w:val="008E3FAA"/>
    <w:rsid w:val="008E737C"/>
    <w:rsid w:val="008F04A3"/>
    <w:rsid w:val="008F05B8"/>
    <w:rsid w:val="008F0C9D"/>
    <w:rsid w:val="008F0D5A"/>
    <w:rsid w:val="008F1C12"/>
    <w:rsid w:val="008F5A4B"/>
    <w:rsid w:val="008F5EF9"/>
    <w:rsid w:val="008F5F6F"/>
    <w:rsid w:val="008F7FD5"/>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65BE"/>
    <w:rsid w:val="009673AB"/>
    <w:rsid w:val="00970E84"/>
    <w:rsid w:val="00971153"/>
    <w:rsid w:val="0098001D"/>
    <w:rsid w:val="00981036"/>
    <w:rsid w:val="00981E5F"/>
    <w:rsid w:val="00981F5C"/>
    <w:rsid w:val="00983846"/>
    <w:rsid w:val="00990CC8"/>
    <w:rsid w:val="0099227E"/>
    <w:rsid w:val="009949C5"/>
    <w:rsid w:val="00997C10"/>
    <w:rsid w:val="009A19B2"/>
    <w:rsid w:val="009B3EC0"/>
    <w:rsid w:val="009B46BC"/>
    <w:rsid w:val="009B4878"/>
    <w:rsid w:val="009B5FE8"/>
    <w:rsid w:val="009B62B1"/>
    <w:rsid w:val="009B76C2"/>
    <w:rsid w:val="009C080D"/>
    <w:rsid w:val="009C142A"/>
    <w:rsid w:val="009C5293"/>
    <w:rsid w:val="009D41DF"/>
    <w:rsid w:val="009D52E7"/>
    <w:rsid w:val="009D709E"/>
    <w:rsid w:val="009E0249"/>
    <w:rsid w:val="009E055A"/>
    <w:rsid w:val="009E0F0F"/>
    <w:rsid w:val="009E1962"/>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D28"/>
    <w:rsid w:val="00A21621"/>
    <w:rsid w:val="00A22457"/>
    <w:rsid w:val="00A22900"/>
    <w:rsid w:val="00A26D18"/>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62A3"/>
    <w:rsid w:val="00A6661A"/>
    <w:rsid w:val="00A6697F"/>
    <w:rsid w:val="00A71C8A"/>
    <w:rsid w:val="00A71ED6"/>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4E93"/>
    <w:rsid w:val="00B514D3"/>
    <w:rsid w:val="00B51BC7"/>
    <w:rsid w:val="00B52134"/>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3BD"/>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929"/>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80CAC"/>
    <w:rsid w:val="00C81C9C"/>
    <w:rsid w:val="00C8516B"/>
    <w:rsid w:val="00C854C1"/>
    <w:rsid w:val="00C85B81"/>
    <w:rsid w:val="00C85D0F"/>
    <w:rsid w:val="00C87391"/>
    <w:rsid w:val="00C9178F"/>
    <w:rsid w:val="00C93F76"/>
    <w:rsid w:val="00C9655A"/>
    <w:rsid w:val="00C96FCA"/>
    <w:rsid w:val="00C9754D"/>
    <w:rsid w:val="00C975DF"/>
    <w:rsid w:val="00CA5D84"/>
    <w:rsid w:val="00CC1960"/>
    <w:rsid w:val="00CC79F1"/>
    <w:rsid w:val="00CD4F70"/>
    <w:rsid w:val="00CD5ADF"/>
    <w:rsid w:val="00CE1CF3"/>
    <w:rsid w:val="00CE4BC0"/>
    <w:rsid w:val="00CE70F3"/>
    <w:rsid w:val="00CE7659"/>
    <w:rsid w:val="00CF0E18"/>
    <w:rsid w:val="00CF29A4"/>
    <w:rsid w:val="00CF2F2E"/>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067F"/>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230D8"/>
    <w:rsid w:val="00E239E2"/>
    <w:rsid w:val="00E23F00"/>
    <w:rsid w:val="00E253B7"/>
    <w:rsid w:val="00E2599A"/>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27E9"/>
    <w:rsid w:val="00F0775E"/>
    <w:rsid w:val="00F15BF4"/>
    <w:rsid w:val="00F15F69"/>
    <w:rsid w:val="00F1612D"/>
    <w:rsid w:val="00F173DD"/>
    <w:rsid w:val="00F1746B"/>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358D"/>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0E8A"/>
    <w:rsid w:val="00F914B2"/>
    <w:rsid w:val="00F926B9"/>
    <w:rsid w:val="00F9541D"/>
    <w:rsid w:val="00F96EFA"/>
    <w:rsid w:val="00FA0403"/>
    <w:rsid w:val="00FA0CE6"/>
    <w:rsid w:val="00FA35FB"/>
    <w:rsid w:val="00FA5742"/>
    <w:rsid w:val="00FA597D"/>
    <w:rsid w:val="00FA5B9A"/>
    <w:rsid w:val="00FB01B9"/>
    <w:rsid w:val="00FB763A"/>
    <w:rsid w:val="00FB79C0"/>
    <w:rsid w:val="00FC2EB8"/>
    <w:rsid w:val="00FC5C43"/>
    <w:rsid w:val="00FD1598"/>
    <w:rsid w:val="00FD576E"/>
    <w:rsid w:val="00FD596B"/>
    <w:rsid w:val="00FD6DB9"/>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customStyle="1" w:styleId="uxksbf">
    <w:name w:val="uxksbf"/>
    <w:basedOn w:val="DefaultParagraphFont"/>
    <w:rsid w:val="00C6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47536151">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09874090">
      <w:bodyDiv w:val="1"/>
      <w:marLeft w:val="0"/>
      <w:marRight w:val="0"/>
      <w:marTop w:val="0"/>
      <w:marBottom w:val="0"/>
      <w:divBdr>
        <w:top w:val="none" w:sz="0" w:space="0" w:color="auto"/>
        <w:left w:val="none" w:sz="0" w:space="0" w:color="auto"/>
        <w:bottom w:val="none" w:sz="0" w:space="0" w:color="auto"/>
        <w:right w:val="none" w:sz="0" w:space="0" w:color="auto"/>
      </w:divBdr>
    </w:div>
    <w:div w:id="13613956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36589617">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28224285">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derkhraibet@sa-uc.edu.iq"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2CD02-06E9-4267-BA4D-DBF577F5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5</Pages>
  <Words>6992</Words>
  <Characters>39858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46757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IJ-AI</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Microsoft Office User</cp:lastModifiedBy>
  <cp:revision>35</cp:revision>
  <cp:lastPrinted>2021-08-05T08:35:00Z</cp:lastPrinted>
  <dcterms:created xsi:type="dcterms:W3CDTF">2021-08-09T07:18:00Z</dcterms:created>
  <dcterms:modified xsi:type="dcterms:W3CDTF">2022-06-14T06:50:00Z</dcterms:modified>
  <cp:category/>
</cp:coreProperties>
</file>