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sz w:val="24"/>
          <w:szCs w:val="24"/>
        </w:rPr>
        <w:t xml:space="preserve">Iraqi Journal of Intelligent Computing and Informatics (IJICI)</w:t>
      </w:r>
    </w:p>
    <w:p>
      <w:pPr>
        <w:spacing w:after="200"/>
        <w:jc w:val="center"/>
      </w:pPr>
      <w:r>
        <w:rPr>
          <w:rFonts w:ascii="Times New Roman" w:cs="Times New Roman" w:eastAsia="Times New Roman" w:hAnsi="Times New Roman"/>
          <w:color w:val="595959"/>
          <w:sz w:val="18"/>
          <w:szCs w:val="18"/>
        </w:rPr>
        <w:t xml:space="preserve">Online ISSN: 2791-2868   ·   University of Shatt Al-Arab, Basra, Iraq</w:t>
      </w:r>
    </w:p>
    <w:p>
      <w:pPr>
        <w:spacing w:after="40"/>
        <w:jc w:val="center"/>
      </w:pPr>
      <w:r>
        <w:rPr>
          <w:rFonts w:ascii="Times New Roman" w:cs="Times New Roman" w:eastAsia="Times New Roman" w:hAnsi="Times New Roman"/>
          <w:b/>
          <w:bCs/>
          <w:color w:val="1F4E79"/>
          <w:sz w:val="36"/>
          <w:szCs w:val="36"/>
        </w:rPr>
        <w:t xml:space="preserve">Author Guidelines</w:t>
      </w:r>
    </w:p>
    <w:p>
      <w:pPr>
        <w:pBdr>
          <w:bottom w:val="single" w:color="1F4E79" w:sz="6" w:space="4"/>
        </w:pBdr>
        <w:spacing w:after="240"/>
        <w:jc w:val="center"/>
      </w:pPr>
      <w:r>
        <w:rPr>
          <w:rFonts w:ascii="Times New Roman" w:cs="Times New Roman" w:eastAsia="Times New Roman" w:hAnsi="Times New Roman"/>
          <w:i/>
          <w:iCs/>
          <w:color w:val="595959"/>
          <w:sz w:val="20"/>
          <w:szCs w:val="20"/>
        </w:rPr>
        <w:t xml:space="preserve">Instructions for the preparation and submission of manuscripts</w:t>
      </w:r>
    </w:p>
    <w:p>
      <w:pPr>
        <w:spacing w:after="120" w:line="264" w:lineRule="auto"/>
        <w:jc w:val="both"/>
      </w:pPr>
      <w:r>
        <w:rPr>
          <w:rFonts w:ascii="Times New Roman" w:cs="Times New Roman" w:eastAsia="Times New Roman" w:hAnsi="Times New Roman"/>
          <w:sz w:val="22"/>
          <w:szCs w:val="22"/>
        </w:rPr>
        <w:t xml:space="preserve">These guidelines explain how to prepare and submit a manuscript to the Iraqi Journal of Intelligent Computing and Informatics (IJICI). Authors are asked to read them in full before submitting, and to follow them together with the journal's official manuscript template. Manuscripts that depart substantially from these requirements may be returned for correction before they are considered for review.</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1. Scope and language</w:t>
      </w:r>
    </w:p>
    <w:p>
      <w:pPr>
        <w:spacing w:after="120" w:line="264" w:lineRule="auto"/>
        <w:jc w:val="both"/>
      </w:pPr>
      <w:r>
        <w:rPr>
          <w:rFonts w:ascii="Times New Roman" w:cs="Times New Roman" w:eastAsia="Times New Roman" w:hAnsi="Times New Roman"/>
          <w:sz w:val="22"/>
          <w:szCs w:val="22"/>
        </w:rPr>
        <w:t xml:space="preserve">IJICI is an international, double-blind peer-reviewed, open-access journal published twice a year by the University of Shatt Al-Arab. It publishes original research and review articles across computing and informatics, including computer science, information technology, software and computer engineering, communications, computer networks, computer security, data mining, artificial intelligence, smart applications, and information systems, covering both their theoretical foundations and practical applications. All manuscripts must be written in clear, grammatically correct English. Authors who are not confident in their written English are encouraged to have the manuscript edited before submission, as language quality affects both the review and the readability of the published work.</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2. Submission and peer review</w:t>
      </w:r>
    </w:p>
    <w:p>
      <w:pPr>
        <w:spacing w:after="120" w:line="264" w:lineRule="auto"/>
        <w:jc w:val="both"/>
      </w:pPr>
      <w:r>
        <w:rPr>
          <w:rFonts w:ascii="Times New Roman" w:cs="Times New Roman" w:eastAsia="Times New Roman" w:hAnsi="Times New Roman"/>
          <w:sz w:val="22"/>
          <w:szCs w:val="22"/>
        </w:rPr>
        <w:t xml:space="preserve">Manuscripts are submitted through the journal's online system. By submitting, the authors confirm that the work is original, has not been published before, and is not under consideration elsewhere. Each manuscript is first examined by the handling editor, normally within one week. A submission that does not meet the journal's scope or basic requirements is returned to the authors at this stage without further review.</w:t>
      </w:r>
    </w:p>
    <w:p>
      <w:pPr>
        <w:spacing w:after="120" w:line="264" w:lineRule="auto"/>
        <w:jc w:val="both"/>
      </w:pPr>
      <w:r>
        <w:rPr>
          <w:rFonts w:ascii="Times New Roman" w:cs="Times New Roman" w:eastAsia="Times New Roman" w:hAnsi="Times New Roman"/>
          <w:sz w:val="22"/>
          <w:szCs w:val="22"/>
        </w:rPr>
        <w:t xml:space="preserve">Manuscripts that pass the initial check are sent for double-blind peer review, in which the identities of authors and reviewers are concealed from one another. The handling editor assigns three independent reviewers, who are normally given three weeks to submit their reports; a reminder is sent if a report is overdue, and a replacement reviewer is appointed if no report is received within four weeks of assignment. On the basis of the reviewers' recommendations, the handling editor prepares a report for the Editor-in-Chief, and the authors are informed of the decision by email. When revisions are required, authors are usually given two weeks to respond to the reviewers' comments and to submit a revised manuscript together with a point-by-point reply.</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3. Manuscript preparation</w:t>
      </w:r>
    </w:p>
    <w:p>
      <w:pPr>
        <w:keepNext/>
        <w:spacing w:after="70" w:before="160"/>
      </w:pPr>
      <w:r>
        <w:rPr>
          <w:rFonts w:ascii="Times New Roman" w:cs="Times New Roman" w:eastAsia="Times New Roman" w:hAnsi="Times New Roman"/>
          <w:b/>
          <w:bCs/>
          <w:sz w:val="23"/>
          <w:szCs w:val="23"/>
        </w:rPr>
        <w:t xml:space="preserve">3.1 Format and length</w:t>
      </w:r>
    </w:p>
    <w:p>
      <w:pPr>
        <w:spacing w:after="120" w:line="264" w:lineRule="auto"/>
        <w:jc w:val="both"/>
      </w:pPr>
      <w:r>
        <w:rPr>
          <w:rFonts w:ascii="Times New Roman" w:cs="Times New Roman" w:eastAsia="Times New Roman" w:hAnsi="Times New Roman"/>
          <w:sz w:val="22"/>
          <w:szCs w:val="22"/>
        </w:rPr>
        <w:t xml:space="preserve">Prepare the manuscript in Microsoft Word using the journal's template. The text is set in a single column on A4 paper, single-spaced, in 10-point Times New Roman, with margins of 1 inch (2.54 cm) on all four sides and pages numbered consecutively. A complete manuscript should contain between 5,000 and 8,000 words, including references. Submit the file in Word format (.doc or .docx); do not submit a PDF as the primary file.</w:t>
      </w:r>
    </w:p>
    <w:p>
      <w:pPr>
        <w:keepNext/>
        <w:spacing w:after="70" w:before="160"/>
      </w:pPr>
      <w:r>
        <w:rPr>
          <w:rFonts w:ascii="Times New Roman" w:cs="Times New Roman" w:eastAsia="Times New Roman" w:hAnsi="Times New Roman"/>
          <w:b/>
          <w:bCs/>
          <w:sz w:val="23"/>
          <w:szCs w:val="23"/>
        </w:rPr>
        <w:t xml:space="preserve">3.2 Title</w:t>
      </w:r>
    </w:p>
    <w:p>
      <w:pPr>
        <w:spacing w:after="120" w:line="264" w:lineRule="auto"/>
        <w:jc w:val="both"/>
      </w:pPr>
      <w:r>
        <w:rPr>
          <w:rFonts w:ascii="Times New Roman" w:cs="Times New Roman" w:eastAsia="Times New Roman" w:hAnsi="Times New Roman"/>
          <w:sz w:val="22"/>
          <w:szCs w:val="22"/>
        </w:rPr>
        <w:t xml:space="preserve">The title should describe the content of the paper in the fewest possible words, ideally no more than about twelve. Avoid acronyms and abbreviations, and do not name the method used unless the paper introduces a new one. Omit redundant openings such as “A study of…” or “Analysis of…”, since the title is used by indexing and retrieval services and should be specific.</w:t>
      </w:r>
    </w:p>
    <w:p>
      <w:pPr>
        <w:keepNext/>
        <w:spacing w:after="70" w:before="160"/>
      </w:pPr>
      <w:r>
        <w:rPr>
          <w:rFonts w:ascii="Times New Roman" w:cs="Times New Roman" w:eastAsia="Times New Roman" w:hAnsi="Times New Roman"/>
          <w:b/>
          <w:bCs/>
          <w:sz w:val="23"/>
          <w:szCs w:val="23"/>
        </w:rPr>
        <w:t xml:space="preserve">3.3 Authors and affiliations</w:t>
      </w:r>
    </w:p>
    <w:p>
      <w:pPr>
        <w:spacing w:after="120" w:line="264" w:lineRule="auto"/>
        <w:jc w:val="both"/>
      </w:pPr>
      <w:r>
        <w:rPr>
          <w:rFonts w:ascii="Times New Roman" w:cs="Times New Roman" w:eastAsia="Times New Roman" w:hAnsi="Times New Roman"/>
          <w:sz w:val="22"/>
          <w:szCs w:val="22"/>
        </w:rPr>
        <w:t xml:space="preserve">List each author's full name, institutional affiliation, and email address, and provide the name and contact details of the corresponding author. Authors are encouraged to include their ORCID identifier. Because review is double-blind, all information that could identify the authors — names, affiliations, email addresses, acknowledgements, and funding details — must be removed from the manuscript submitted for review and added only after the paper has been accepted.</w:t>
      </w:r>
    </w:p>
    <w:p>
      <w:pPr>
        <w:keepNext/>
        <w:spacing w:after="70" w:before="160"/>
      </w:pPr>
      <w:r>
        <w:rPr>
          <w:rFonts w:ascii="Times New Roman" w:cs="Times New Roman" w:eastAsia="Times New Roman" w:hAnsi="Times New Roman"/>
          <w:b/>
          <w:bCs/>
          <w:sz w:val="23"/>
          <w:szCs w:val="23"/>
        </w:rPr>
        <w:t xml:space="preserve">3.4 Abstract and keywords</w:t>
      </w:r>
    </w:p>
    <w:p>
      <w:pPr>
        <w:spacing w:after="120" w:line="264" w:lineRule="auto"/>
        <w:jc w:val="both"/>
      </w:pPr>
      <w:r>
        <w:rPr>
          <w:rFonts w:ascii="Times New Roman" w:cs="Times New Roman" w:eastAsia="Times New Roman" w:hAnsi="Times New Roman"/>
          <w:sz w:val="22"/>
          <w:szCs w:val="22"/>
        </w:rPr>
        <w:t xml:space="preserve">The abstract is a single, self-contained paragraph of 150 to 250 words that states the problem addressed, the approach taken, the principal results, and the main conclusions, and can be understood without reference to the rest of the paper. Citations should be avoided in the abstract; if one is essential, give the author and year only. Immediately after the abstract, provide four to six keywords that capture the main topics of the work, as these are used for indexing.</w:t>
      </w:r>
    </w:p>
    <w:p>
      <w:pPr>
        <w:keepNext/>
        <w:spacing w:after="70" w:before="160"/>
      </w:pPr>
      <w:r>
        <w:rPr>
          <w:rFonts w:ascii="Times New Roman" w:cs="Times New Roman" w:eastAsia="Times New Roman" w:hAnsi="Times New Roman"/>
          <w:b/>
          <w:bCs/>
          <w:sz w:val="23"/>
          <w:szCs w:val="23"/>
        </w:rPr>
        <w:t xml:space="preserve">3.5 Structure of the manuscript</w:t>
      </w:r>
    </w:p>
    <w:p>
      <w:pPr>
        <w:spacing w:after="120" w:line="264" w:lineRule="auto"/>
        <w:jc w:val="both"/>
      </w:pPr>
      <w:r>
        <w:rPr>
          <w:rFonts w:ascii="Times New Roman" w:cs="Times New Roman" w:eastAsia="Times New Roman" w:hAnsi="Times New Roman"/>
          <w:sz w:val="22"/>
          <w:szCs w:val="22"/>
        </w:rPr>
        <w:t xml:space="preserve">A research article is normally organised into the following numbered sections: Introduction, Method, Results and Discussion, and Conclusion, followed by any declarations, acknowledgements, and the reference list. The Introduction should give the background, a clear statement of the problem, a concise review of related work, the proposed approach, and the contribution and novelty of the study. When the paper introduces a new method or algorithm, an additional section presenting the underlying theory may be placed between the Introduction and the Method. The Conclusion should show that the aims set out in the Introduction have been addressed by the results, and may indicate directions for further work; it should not merely repeat the abstract.</w:t>
      </w:r>
    </w:p>
    <w:p>
      <w:pPr>
        <w:keepNext/>
        <w:spacing w:after="70" w:before="160"/>
      </w:pPr>
      <w:r>
        <w:rPr>
          <w:rFonts w:ascii="Times New Roman" w:cs="Times New Roman" w:eastAsia="Times New Roman" w:hAnsi="Times New Roman"/>
          <w:b/>
          <w:bCs/>
          <w:sz w:val="23"/>
          <w:szCs w:val="23"/>
        </w:rPr>
        <w:t xml:space="preserve">3.6 Headings</w:t>
      </w:r>
    </w:p>
    <w:p>
      <w:pPr>
        <w:spacing w:after="120" w:line="264" w:lineRule="auto"/>
        <w:jc w:val="both"/>
      </w:pPr>
      <w:r>
        <w:rPr>
          <w:rFonts w:ascii="Times New Roman" w:cs="Times New Roman" w:eastAsia="Times New Roman" w:hAnsi="Times New Roman"/>
          <w:sz w:val="22"/>
          <w:szCs w:val="22"/>
        </w:rPr>
        <w:t xml:space="preserve">Use a clear, consistent heading hierarchy. First-level headings are numbered, bold, and set in capitals (for example, 1. INTRODUCTION); second-level headings are numbered and bold (for example, 3.1 Subsection); and third-level headings are numbered and italic. Each heading appears on its own line.</w:t>
      </w:r>
    </w:p>
    <w:p>
      <w:pPr>
        <w:keepNext/>
        <w:spacing w:after="70" w:before="160"/>
      </w:pPr>
      <w:r>
        <w:rPr>
          <w:rFonts w:ascii="Times New Roman" w:cs="Times New Roman" w:eastAsia="Times New Roman" w:hAnsi="Times New Roman"/>
          <w:b/>
          <w:bCs/>
          <w:sz w:val="23"/>
          <w:szCs w:val="23"/>
        </w:rPr>
        <w:t xml:space="preserve">3.7 Equations</w:t>
      </w:r>
    </w:p>
    <w:p>
      <w:pPr>
        <w:spacing w:after="120" w:line="264" w:lineRule="auto"/>
        <w:jc w:val="both"/>
      </w:pPr>
      <w:r>
        <w:rPr>
          <w:rFonts w:ascii="Times New Roman" w:cs="Times New Roman" w:eastAsia="Times New Roman" w:hAnsi="Times New Roman"/>
          <w:sz w:val="22"/>
          <w:szCs w:val="22"/>
        </w:rPr>
        <w:t xml:space="preserve">Place each equation on its own line, centred, and number equations consecutively with the number in parentheses at the right margin, as in (1). Microsoft Equation Editor or MathType is preferred. Define every symbol in the text that follows the equation in which it first appears.</w:t>
      </w:r>
    </w:p>
    <w:p>
      <w:pPr>
        <w:keepNext/>
        <w:spacing w:after="70" w:before="160"/>
      </w:pPr>
      <w:r>
        <w:rPr>
          <w:rFonts w:ascii="Times New Roman" w:cs="Times New Roman" w:eastAsia="Times New Roman" w:hAnsi="Times New Roman"/>
          <w:b/>
          <w:bCs/>
          <w:sz w:val="23"/>
          <w:szCs w:val="23"/>
        </w:rPr>
        <w:t xml:space="preserve">3.8 Figures and tables</w:t>
      </w:r>
    </w:p>
    <w:p>
      <w:pPr>
        <w:spacing w:after="120" w:line="264" w:lineRule="auto"/>
        <w:jc w:val="both"/>
      </w:pPr>
      <w:r>
        <w:rPr>
          <w:rFonts w:ascii="Times New Roman" w:cs="Times New Roman" w:eastAsia="Times New Roman" w:hAnsi="Times New Roman"/>
          <w:sz w:val="22"/>
          <w:szCs w:val="22"/>
        </w:rPr>
        <w:t xml:space="preserve">Figures and tables must be numbered separately in the order in which they are cited in the text, and every figure and table must be referred to in the text. A figure caption is placed, centred, below the figure, and a table title is placed, centred, above the table; both begin with a capital letter (for example, “Figure 1. …” and “Table 1. …”). Figures should be of sufficient resolution to remain legible in print, and tables should be created with the word processor rather than inserted as images so that they can be edited during production.</w:t>
      </w:r>
    </w:p>
    <w:p>
      <w:pPr>
        <w:keepNext/>
        <w:spacing w:after="70" w:before="160"/>
      </w:pPr>
      <w:r>
        <w:rPr>
          <w:rFonts w:ascii="Times New Roman" w:cs="Times New Roman" w:eastAsia="Times New Roman" w:hAnsi="Times New Roman"/>
          <w:b/>
          <w:bCs/>
          <w:sz w:val="23"/>
          <w:szCs w:val="23"/>
        </w:rPr>
        <w:t xml:space="preserve">3.9 Abbreviations</w:t>
      </w:r>
    </w:p>
    <w:p>
      <w:pPr>
        <w:spacing w:after="120" w:line="264" w:lineRule="auto"/>
        <w:jc w:val="both"/>
      </w:pPr>
      <w:r>
        <w:rPr>
          <w:rFonts w:ascii="Times New Roman" w:cs="Times New Roman" w:eastAsia="Times New Roman" w:hAnsi="Times New Roman"/>
          <w:sz w:val="22"/>
          <w:szCs w:val="22"/>
        </w:rPr>
        <w:t xml:space="preserve">Define each acronym or abbreviation at its first appearance, both in the abstract and again in the main text, and use it consistently thereafter. Avoid non-standard abbreviations in the title.</w:t>
      </w:r>
    </w:p>
    <w:p>
      <w:pPr>
        <w:keepNext/>
        <w:spacing w:after="70" w:before="160"/>
      </w:pPr>
      <w:r>
        <w:rPr>
          <w:rFonts w:ascii="Times New Roman" w:cs="Times New Roman" w:eastAsia="Times New Roman" w:hAnsi="Times New Roman"/>
          <w:b/>
          <w:bCs/>
          <w:sz w:val="23"/>
          <w:szCs w:val="23"/>
        </w:rPr>
        <w:t xml:space="preserve">3.10 References</w:t>
      </w:r>
    </w:p>
    <w:p>
      <w:pPr>
        <w:spacing w:after="120" w:line="264" w:lineRule="auto"/>
        <w:jc w:val="both"/>
      </w:pPr>
      <w:r>
        <w:rPr>
          <w:rFonts w:ascii="Times New Roman" w:cs="Times New Roman" w:eastAsia="Times New Roman" w:hAnsi="Times New Roman"/>
          <w:sz w:val="22"/>
          <w:szCs w:val="22"/>
        </w:rPr>
        <w:t xml:space="preserve">References and in-text citations follow the IEEE numbered style: citations appear in square brackets, such as [1] or [2], [3], and the reference list gives the cited works in the order of their first appearance. List only works actually cited. The minimum number of references is 25 for an original research paper and 50 for a review or survey paper, drawn mainly from recent peer-reviewed journals and conference proceedings. A reference manager such as EndNote, Mendeley, or Zotero, set to IEEE style, is recommended. Representative examples of the main reference types are given below.</w:t>
      </w:r>
    </w:p>
    <w:p>
      <w:pPr>
        <w:spacing w:after="60" w:line="252" w:lineRule="auto"/>
        <w:ind w:left="360" w:hanging="360"/>
      </w:pPr>
      <w:r>
        <w:rPr>
          <w:rFonts w:ascii="Times New Roman" w:cs="Times New Roman" w:eastAsia="Times New Roman" w:hAnsi="Times New Roman"/>
          <w:b/>
          <w:bCs/>
          <w:sz w:val="20"/>
          <w:szCs w:val="20"/>
        </w:rPr>
        <w:t xml:space="preserve">Journal article: </w:t>
      </w:r>
      <w:r>
        <w:rPr>
          <w:rFonts w:ascii="Times New Roman" w:cs="Times New Roman" w:eastAsia="Times New Roman" w:hAnsi="Times New Roman"/>
          <w:sz w:val="20"/>
          <w:szCs w:val="20"/>
        </w:rPr>
        <w:t xml:space="preserve">Y. LeCun, Y. Bengio, and G. Hinton, “Deep learning,” </w:t>
      </w:r>
      <w:r>
        <w:rPr>
          <w:rFonts w:ascii="Times New Roman" w:cs="Times New Roman" w:eastAsia="Times New Roman" w:hAnsi="Times New Roman"/>
          <w:i/>
          <w:iCs/>
          <w:sz w:val="20"/>
          <w:szCs w:val="20"/>
        </w:rPr>
        <w:t xml:space="preserve">Nature</w:t>
      </w:r>
      <w:r>
        <w:rPr>
          <w:rFonts w:ascii="Times New Roman" w:cs="Times New Roman" w:eastAsia="Times New Roman" w:hAnsi="Times New Roman"/>
          <w:sz w:val="20"/>
          <w:szCs w:val="20"/>
        </w:rPr>
        <w:t xml:space="preserve">, vol. 521, no. 7553, pp. 436–444, May 2015, doi: 10.1038/nature14539.</w:t>
      </w:r>
    </w:p>
    <w:p>
      <w:pPr>
        <w:spacing w:after="60" w:line="252" w:lineRule="auto"/>
        <w:ind w:left="360" w:hanging="360"/>
      </w:pPr>
      <w:r>
        <w:rPr>
          <w:rFonts w:ascii="Times New Roman" w:cs="Times New Roman" w:eastAsia="Times New Roman" w:hAnsi="Times New Roman"/>
          <w:b/>
          <w:bCs/>
          <w:sz w:val="20"/>
          <w:szCs w:val="20"/>
        </w:rPr>
        <w:t xml:space="preserve">Conference paper: </w:t>
      </w:r>
      <w:r>
        <w:rPr>
          <w:rFonts w:ascii="Times New Roman" w:cs="Times New Roman" w:eastAsia="Times New Roman" w:hAnsi="Times New Roman"/>
          <w:sz w:val="20"/>
          <w:szCs w:val="20"/>
        </w:rPr>
        <w:t xml:space="preserve">K. He, X. Zhang, S. Ren, and J. Sun, “Deep residual learning for image recognition,” in </w:t>
      </w:r>
      <w:r>
        <w:rPr>
          <w:rFonts w:ascii="Times New Roman" w:cs="Times New Roman" w:eastAsia="Times New Roman" w:hAnsi="Times New Roman"/>
          <w:i/>
          <w:iCs/>
          <w:sz w:val="20"/>
          <w:szCs w:val="20"/>
        </w:rPr>
        <w:t xml:space="preserve">Proc. IEEE Conf. Comput. Vis. Pattern Recognit. (CVPR)</w:t>
      </w:r>
      <w:r>
        <w:rPr>
          <w:rFonts w:ascii="Times New Roman" w:cs="Times New Roman" w:eastAsia="Times New Roman" w:hAnsi="Times New Roman"/>
          <w:sz w:val="20"/>
          <w:szCs w:val="20"/>
        </w:rPr>
        <w:t xml:space="preserve">, Jun. 2016, pp. 770–778, doi: 10.1109/CVPR.2016.90.</w:t>
      </w:r>
    </w:p>
    <w:p>
      <w:pPr>
        <w:spacing w:after="60" w:line="252" w:lineRule="auto"/>
        <w:ind w:left="360" w:hanging="360"/>
      </w:pPr>
      <w:r>
        <w:rPr>
          <w:rFonts w:ascii="Times New Roman" w:cs="Times New Roman" w:eastAsia="Times New Roman" w:hAnsi="Times New Roman"/>
          <w:b/>
          <w:bCs/>
          <w:sz w:val="20"/>
          <w:szCs w:val="20"/>
        </w:rPr>
        <w:t xml:space="preserve">Book: </w:t>
      </w:r>
      <w:r>
        <w:rPr>
          <w:rFonts w:ascii="Times New Roman" w:cs="Times New Roman" w:eastAsia="Times New Roman" w:hAnsi="Times New Roman"/>
          <w:sz w:val="20"/>
          <w:szCs w:val="20"/>
        </w:rPr>
        <w:t xml:space="preserve">I. Goodfellow, Y. Bengio, and A. Courville, </w:t>
      </w:r>
      <w:r>
        <w:rPr>
          <w:rFonts w:ascii="Times New Roman" w:cs="Times New Roman" w:eastAsia="Times New Roman" w:hAnsi="Times New Roman"/>
          <w:i/>
          <w:iCs/>
          <w:sz w:val="20"/>
          <w:szCs w:val="20"/>
        </w:rPr>
        <w:t xml:space="preserve">Deep Learning</w:t>
      </w:r>
      <w:r>
        <w:rPr>
          <w:rFonts w:ascii="Times New Roman" w:cs="Times New Roman" w:eastAsia="Times New Roman" w:hAnsi="Times New Roman"/>
          <w:sz w:val="20"/>
          <w:szCs w:val="20"/>
        </w:rPr>
        <w:t xml:space="preserve">. Cambridge, MA, USA: MIT Press, 2016.</w:t>
      </w:r>
    </w:p>
    <w:p>
      <w:pPr>
        <w:spacing w:after="60" w:line="252" w:lineRule="auto"/>
        <w:ind w:left="360" w:hanging="360"/>
      </w:pPr>
      <w:r>
        <w:rPr>
          <w:rFonts w:ascii="Times New Roman" w:cs="Times New Roman" w:eastAsia="Times New Roman" w:hAnsi="Times New Roman"/>
          <w:b/>
          <w:bCs/>
          <w:sz w:val="20"/>
          <w:szCs w:val="20"/>
        </w:rPr>
        <w:t xml:space="preserve">Thesis: </w:t>
      </w:r>
      <w:r>
        <w:rPr>
          <w:rFonts w:ascii="Times New Roman" w:cs="Times New Roman" w:eastAsia="Times New Roman" w:hAnsi="Times New Roman"/>
          <w:sz w:val="20"/>
          <w:szCs w:val="20"/>
        </w:rPr>
        <w:t xml:space="preserve">A. B. Author, “Title of thesis,” M.S. thesis, Dept. Comput. Sci., Univ. of Basrah, Basra, Iraq, 2024.</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4. Declarations</w:t>
      </w:r>
    </w:p>
    <w:p>
      <w:pPr>
        <w:spacing w:after="120" w:line="264" w:lineRule="auto"/>
        <w:jc w:val="both"/>
      </w:pPr>
      <w:r>
        <w:rPr>
          <w:rFonts w:ascii="Times New Roman" w:cs="Times New Roman" w:eastAsia="Times New Roman" w:hAnsi="Times New Roman"/>
          <w:sz w:val="22"/>
          <w:szCs w:val="22"/>
        </w:rPr>
        <w:t xml:space="preserve">After the Conclusion, and before the references, authors must include the following declarations. These statements are required for every submission and may be brief.</w:t>
      </w:r>
    </w:p>
    <w:p>
      <w:pPr>
        <w:pStyle w:val="ListParagraph"/>
        <w:numPr>
          <w:ilvl w:val="0"/>
          <w:numId w:val="2"/>
        </w:numPr>
        <w:spacing w:after="60" w:line="264" w:lineRule="auto"/>
        <w:jc w:val="both"/>
      </w:pPr>
      <w:r>
        <w:rPr>
          <w:rFonts w:ascii="Times New Roman" w:cs="Times New Roman" w:eastAsia="Times New Roman" w:hAnsi="Times New Roman"/>
          <w:b/>
          <w:bCs/>
        </w:rPr>
        <w:t xml:space="preserve">Author contributions. </w:t>
      </w:r>
      <w:r>
        <w:rPr>
          <w:rFonts w:ascii="Times New Roman" w:cs="Times New Roman" w:eastAsia="Times New Roman" w:hAnsi="Times New Roman"/>
        </w:rPr>
        <w:t xml:space="preserve">State the contribution of each author (for example, conceptualisation, methodology, software, validation, or writing).</w:t>
      </w:r>
    </w:p>
    <w:p>
      <w:pPr>
        <w:pStyle w:val="ListParagraph"/>
        <w:numPr>
          <w:ilvl w:val="0"/>
          <w:numId w:val="2"/>
        </w:numPr>
        <w:spacing w:after="60" w:line="264" w:lineRule="auto"/>
        <w:jc w:val="both"/>
      </w:pPr>
      <w:r>
        <w:rPr>
          <w:rFonts w:ascii="Times New Roman" w:cs="Times New Roman" w:eastAsia="Times New Roman" w:hAnsi="Times New Roman"/>
          <w:b/>
          <w:bCs/>
        </w:rPr>
        <w:t xml:space="preserve">Funding. </w:t>
      </w:r>
      <w:r>
        <w:rPr>
          <w:rFonts w:ascii="Times New Roman" w:cs="Times New Roman" w:eastAsia="Times New Roman" w:hAnsi="Times New Roman"/>
        </w:rPr>
        <w:t xml:space="preserve">Identify any funding source and grant number, or state that the research received no specific funding.</w:t>
      </w:r>
    </w:p>
    <w:p>
      <w:pPr>
        <w:pStyle w:val="ListParagraph"/>
        <w:numPr>
          <w:ilvl w:val="0"/>
          <w:numId w:val="2"/>
        </w:numPr>
        <w:spacing w:after="60" w:line="264" w:lineRule="auto"/>
        <w:jc w:val="both"/>
      </w:pPr>
      <w:r>
        <w:rPr>
          <w:rFonts w:ascii="Times New Roman" w:cs="Times New Roman" w:eastAsia="Times New Roman" w:hAnsi="Times New Roman"/>
          <w:b/>
          <w:bCs/>
        </w:rPr>
        <w:t xml:space="preserve">Conflict of interest. </w:t>
      </w:r>
      <w:r>
        <w:rPr>
          <w:rFonts w:ascii="Times New Roman" w:cs="Times New Roman" w:eastAsia="Times New Roman" w:hAnsi="Times New Roman"/>
        </w:rPr>
        <w:t xml:space="preserve">Declare any competing interest, or state that the authors declare no conflict of interest.</w:t>
      </w:r>
    </w:p>
    <w:p>
      <w:pPr>
        <w:pStyle w:val="ListParagraph"/>
        <w:numPr>
          <w:ilvl w:val="0"/>
          <w:numId w:val="2"/>
        </w:numPr>
        <w:spacing w:after="60" w:line="264" w:lineRule="auto"/>
        <w:jc w:val="both"/>
      </w:pPr>
      <w:r>
        <w:rPr>
          <w:rFonts w:ascii="Times New Roman" w:cs="Times New Roman" w:eastAsia="Times New Roman" w:hAnsi="Times New Roman"/>
          <w:b/>
          <w:bCs/>
        </w:rPr>
        <w:t xml:space="preserve">Data availability. </w:t>
      </w:r>
      <w:r>
        <w:rPr>
          <w:rFonts w:ascii="Times New Roman" w:cs="Times New Roman" w:eastAsia="Times New Roman" w:hAnsi="Times New Roman"/>
        </w:rPr>
        <w:t xml:space="preserve">Indicate where the data supporting the findings can be accessed, or the conditions for access.</w:t>
      </w:r>
    </w:p>
    <w:p>
      <w:pPr>
        <w:pStyle w:val="ListParagraph"/>
        <w:numPr>
          <w:ilvl w:val="0"/>
          <w:numId w:val="2"/>
        </w:numPr>
        <w:spacing w:after="60" w:line="264" w:lineRule="auto"/>
        <w:jc w:val="both"/>
      </w:pPr>
      <w:r>
        <w:rPr>
          <w:rFonts w:ascii="Times New Roman" w:cs="Times New Roman" w:eastAsia="Times New Roman" w:hAnsi="Times New Roman"/>
          <w:b/>
          <w:bCs/>
        </w:rPr>
        <w:t xml:space="preserve">Use of AI tools. </w:t>
      </w:r>
      <w:r>
        <w:rPr>
          <w:rFonts w:ascii="Times New Roman" w:cs="Times New Roman" w:eastAsia="Times New Roman" w:hAnsi="Times New Roman"/>
        </w:rPr>
        <w:t xml:space="preserve">Disclose any use of generative AI or AI-assisted technologies, in line with the policy in Section 5.2.</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5. Research integrity</w:t>
      </w:r>
    </w:p>
    <w:p>
      <w:pPr>
        <w:keepNext/>
        <w:spacing w:after="70" w:before="160"/>
      </w:pPr>
      <w:r>
        <w:rPr>
          <w:rFonts w:ascii="Times New Roman" w:cs="Times New Roman" w:eastAsia="Times New Roman" w:hAnsi="Times New Roman"/>
          <w:b/>
          <w:bCs/>
          <w:sz w:val="23"/>
          <w:szCs w:val="23"/>
        </w:rPr>
        <w:t xml:space="preserve">5.1 Plagiarism and similarity</w:t>
      </w:r>
    </w:p>
    <w:p>
      <w:pPr>
        <w:spacing w:after="120" w:line="264" w:lineRule="auto"/>
        <w:jc w:val="both"/>
      </w:pPr>
      <w:r>
        <w:rPr>
          <w:rFonts w:ascii="Times New Roman" w:cs="Times New Roman" w:eastAsia="Times New Roman" w:hAnsi="Times New Roman"/>
          <w:sz w:val="22"/>
          <w:szCs w:val="22"/>
        </w:rPr>
        <w:t xml:space="preserve">IJICI treats originality as a condition of publication. Every manuscript is screened with plagiarism-detection software (Turnitin) before review and again before publication. The overall similarity index must be below 20%, and the similarity attributable to any single source must not exceed 5%. Manuscripts exceeding either limit are returned for revision or rejected, according to the nature and extent of the overlap. Verbatim copying without attribution, the use of others' ideas without credit, self-plagiarism, and duplicate or redundant publication are all regarded as misconduct. Authors are responsible for citing every source correctly and for keeping any quoted material clearly marked and to a minimum.</w:t>
      </w:r>
    </w:p>
    <w:p>
      <w:pPr>
        <w:keepNext/>
        <w:spacing w:after="70" w:before="160"/>
      </w:pPr>
      <w:r>
        <w:rPr>
          <w:rFonts w:ascii="Times New Roman" w:cs="Times New Roman" w:eastAsia="Times New Roman" w:hAnsi="Times New Roman"/>
          <w:b/>
          <w:bCs/>
          <w:sz w:val="23"/>
          <w:szCs w:val="23"/>
        </w:rPr>
        <w:t xml:space="preserve">5.2 Use of AI and AI-assisted tools</w:t>
      </w:r>
    </w:p>
    <w:p>
      <w:pPr>
        <w:spacing w:after="120" w:line="264" w:lineRule="auto"/>
        <w:jc w:val="both"/>
      </w:pPr>
      <w:r>
        <w:rPr>
          <w:rFonts w:ascii="Times New Roman" w:cs="Times New Roman" w:eastAsia="Times New Roman" w:hAnsi="Times New Roman"/>
          <w:sz w:val="22"/>
          <w:szCs w:val="22"/>
        </w:rPr>
        <w:t xml:space="preserve">IJICI permits the responsible use of generative AI and AI-assisted tools, subject to full transparency. Any use of such tools in preparing the manuscript — for example, in drafting or editing text, generating or modifying figures, analysing data, or translating — must be disclosed in the declarations, naming the tool and describing how it was used. AI tools cannot be listed as authors, because authorship carries a responsibility that only humans can hold, and the authors remain fully accountable for the entire content of the manuscript, including any part produced with AI assistance. AI must not be used to fabricate data, results, references, or images, or to produce content that misrepresents the research. To protect confidentiality, editors and reviewers must not upload submitted manuscripts, or any part of them, to public AI tools.</w:t>
      </w:r>
    </w:p>
    <w:p>
      <w:pPr>
        <w:spacing w:after="120" w:line="264" w:lineRule="auto"/>
        <w:jc w:val="both"/>
      </w:pPr>
      <w:r>
        <w:rPr>
          <w:rFonts w:ascii="Times New Roman" w:cs="Times New Roman" w:eastAsia="Times New Roman" w:hAnsi="Times New Roman"/>
          <w:sz w:val="22"/>
          <w:szCs w:val="22"/>
        </w:rPr>
        <w:t xml:space="preserve">The journal may use AI-content detection tools as part of its screening, but treats the result as one indicator rather than an automatic basis for a decision. As a general guide, a manuscript in which more than 25% of the text is identified as AI-generated will be subject to closer editorial inspection; in such cases the editors may examine the manuscript more carefully, request clarification or a revised disclosure, ask for revision so that the work better reflects the authors' own voice, or refer the manuscript for further review before reaching a decision. Because detection tools are still developing and can misclassify legitimate writing — particularly that of authors who use English as an additional language — the journal does not rely on a detection score alone, and weighs editorial judgement, the author's disclosure, and the overall integrity of the work.</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6. Open access, copyright, and licensing</w:t>
      </w:r>
    </w:p>
    <w:p>
      <w:pPr>
        <w:spacing w:after="120" w:line="264" w:lineRule="auto"/>
        <w:jc w:val="both"/>
      </w:pPr>
      <w:r>
        <w:rPr>
          <w:rFonts w:ascii="Times New Roman" w:cs="Times New Roman" w:eastAsia="Times New Roman" w:hAnsi="Times New Roman"/>
          <w:sz w:val="22"/>
          <w:szCs w:val="22"/>
        </w:rPr>
        <w:t xml:space="preserve">IJICI is a fully open-access journal: all articles are freely available to read, download, and distribute immediately on publication. Articles are published under a Creative Commons Attribution 4.0 International License (CC BY 4.0). Under this license, authors retain the copyright to their work while granting all users the right to share and adapt the material in any medium or format, including for commercial purposes, provided that appropriate credit is given to the author and source, a link to the license is included, and any changes are indicated. The full terms are available at </w:t>
      </w:r>
      <w:hyperlink w:history="1" r:id="rIdnc2ndilempf9knum7bo5c">
        <w:r>
          <w:rPr>
            <w:rStyle w:val="Hyperlink"/>
            <w:rFonts w:ascii="Times New Roman" w:cs="Times New Roman" w:eastAsia="Times New Roman" w:hAnsi="Times New Roman"/>
            <w:sz w:val="22"/>
            <w:szCs w:val="22"/>
          </w:rPr>
          <w:t xml:space="preserve">https://creativecommons.org/licenses/by/4.0/</w:t>
        </w:r>
      </w:hyperlink>
      <w:r>
        <w:rPr>
          <w:rFonts w:ascii="Times New Roman" w:cs="Times New Roman" w:eastAsia="Times New Roman" w:hAnsi="Times New Roman"/>
          <w:sz w:val="22"/>
          <w:szCs w:val="22"/>
        </w:rPr>
        <w:t xml:space="preserve">.</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7. Article processing charges</w:t>
      </w:r>
    </w:p>
    <w:p>
      <w:pPr>
        <w:spacing w:after="120" w:line="264" w:lineRule="auto"/>
        <w:jc w:val="both"/>
      </w:pPr>
      <w:r>
        <w:rPr>
          <w:rFonts w:ascii="Times New Roman" w:cs="Times New Roman" w:eastAsia="Times New Roman" w:hAnsi="Times New Roman"/>
          <w:sz w:val="22"/>
          <w:szCs w:val="22"/>
        </w:rPr>
        <w:t xml:space="preserve">IJICI charges no fees of any kind. There are no submission fees, no article-processing charges, no page or colour charges, and no fees for publication, and access for readers is likewise free. The journal operates as a diamond open-access publication: the University of Shatt Al-Arab underwrites the full cost of editorial management, peer review, and online publication, so that neither authors nor readers bear any financial burden. The absence of charges has no bearing on editorial decisions, which rest solely on the scientific merit, originality, and relevance of each submission.</w:t>
      </w:r>
    </w:p>
    <w:p>
      <w:pPr>
        <w:keepNext/>
        <w:pBdr>
          <w:bottom w:val="single" w:color="1F4E79" w:sz="4" w:space="2"/>
        </w:pBdr>
        <w:spacing w:after="100" w:before="240"/>
      </w:pPr>
      <w:r>
        <w:rPr>
          <w:rFonts w:ascii="Times New Roman" w:cs="Times New Roman" w:eastAsia="Times New Roman" w:hAnsi="Times New Roman"/>
          <w:b/>
          <w:bCs/>
          <w:color w:val="1F4E79"/>
          <w:sz w:val="26"/>
          <w:szCs w:val="26"/>
        </w:rPr>
        <w:t xml:space="preserve">8. Contact</w:t>
      </w:r>
    </w:p>
    <w:p>
      <w:pPr>
        <w:spacing w:after="120" w:line="264" w:lineRule="auto"/>
        <w:jc w:val="both"/>
      </w:pPr>
      <w:r>
        <w:rPr>
          <w:rFonts w:ascii="Times New Roman" w:cs="Times New Roman" w:eastAsia="Times New Roman" w:hAnsi="Times New Roman"/>
          <w:sz w:val="22"/>
          <w:szCs w:val="22"/>
        </w:rPr>
        <w:t xml:space="preserve">Questions about submission may be addressed to the editorial office at </w:t>
      </w:r>
      <w:hyperlink w:history="1" r:id="rIdo0xp8c6u77hcdjxnmt9nu">
        <w:r>
          <w:rPr>
            <w:rStyle w:val="Hyperlink"/>
            <w:rFonts w:ascii="Times New Roman" w:cs="Times New Roman" w:eastAsia="Times New Roman" w:hAnsi="Times New Roman"/>
            <w:sz w:val="22"/>
            <w:szCs w:val="22"/>
          </w:rPr>
          <w:t xml:space="preserve">info@sa-uc.edu.iq</w:t>
        </w:r>
      </w:hyperlink>
      <w:r>
        <w:rPr>
          <w:rFonts w:ascii="Times New Roman" w:cs="Times New Roman" w:eastAsia="Times New Roman" w:hAnsi="Times New Roman"/>
          <w:sz w:val="22"/>
          <w:szCs w:val="22"/>
        </w:rPr>
        <w:t xml:space="preserve">, or to the Editor-in-Chief, Associate Professor Dr. Hayder Naser Khraibet Al-Behadili, at </w:t>
      </w:r>
      <w:hyperlink w:history="1" r:id="rIdaommrqylihrvloowru8we">
        <w:r>
          <w:rPr>
            <w:rStyle w:val="Hyperlink"/>
            <w:rFonts w:ascii="Times New Roman" w:cs="Times New Roman" w:eastAsia="Times New Roman" w:hAnsi="Times New Roman"/>
            <w:sz w:val="22"/>
            <w:szCs w:val="22"/>
          </w:rPr>
          <w:t xml:space="preserve">hayderkhraibet@sa-uc.edu.iq</w:t>
        </w:r>
      </w:hyperlink>
      <w:r>
        <w:rPr>
          <w:rFonts w:ascii="Times New Roman" w:cs="Times New Roman" w:eastAsia="Times New Roman" w:hAnsi="Times New Roman"/>
          <w:sz w:val="22"/>
          <w:szCs w:val="22"/>
        </w:rPr>
        <w:t xml:space="preserve">. The journal's manuscript template should be downloaded from the journal website and used for all submissions.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yperlink">
    <w:name w:val="Hyperlink"/>
    <w:rPr>
      <w:color w:val="0563C1"/>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c2ndilempf9knum7bo5c" Type="http://schemas.openxmlformats.org/officeDocument/2006/relationships/hyperlink" Target="https://creativecommons.org/licenses/by/4.0/" TargetMode="External"/><Relationship Id="rIdo0xp8c6u77hcdjxnmt9nu" Type="http://schemas.openxmlformats.org/officeDocument/2006/relationships/hyperlink" Target="mailto:info@sa-uc.edu.iq" TargetMode="External"/><Relationship Id="rIdaommrqylihrvloowru8we" Type="http://schemas.openxmlformats.org/officeDocument/2006/relationships/hyperlink" Target="mailto:hayderkhraibet@sa-uc.edu.iq"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IJICI Author Guidelines</dc:title>
  <dc:creator>IJICI</dc:creator>
  <cp:lastModifiedBy>Un-named</cp:lastModifiedBy>
  <cp:revision>1</cp:revision>
  <dcterms:created xsi:type="dcterms:W3CDTF">2026-05-29T20:18:37.765Z</dcterms:created>
  <dcterms:modified xsi:type="dcterms:W3CDTF">2026-05-29T20:18:37.777Z</dcterms:modified>
</cp:coreProperties>
</file>

<file path=docProps/custom.xml><?xml version="1.0" encoding="utf-8"?>
<Properties xmlns="http://schemas.openxmlformats.org/officeDocument/2006/custom-properties" xmlns:vt="http://schemas.openxmlformats.org/officeDocument/2006/docPropsVTypes"/>
</file>